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A582" w14:textId="77777777" w:rsidR="00776E6A" w:rsidRDefault="00776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7DC46BD" w14:textId="77777777" w:rsidR="00776E6A" w:rsidRDefault="00F07140">
      <w:pPr>
        <w:spacing w:after="160" w:line="254" w:lineRule="auto"/>
        <w:ind w:left="36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La edad y los primeros síntomas, como elementos clave en un trastorno psicótico</w:t>
      </w:r>
    </w:p>
    <w:p w14:paraId="5892AAAF" w14:textId="77777777" w:rsidR="00776E6A" w:rsidRDefault="00F07140">
      <w:pPr>
        <w:spacing w:after="160" w:line="254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0DAAD651" w14:textId="77777777" w:rsidR="00776E6A" w:rsidRDefault="00F07140">
      <w:pPr>
        <w:spacing w:after="160" w:line="254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Los menores de 18 años tardan más en iniciar el tratamiento correspondiente</w:t>
      </w:r>
    </w:p>
    <w:p w14:paraId="6DEC93A0" w14:textId="77777777" w:rsidR="00776E6A" w:rsidRDefault="00F07140">
      <w:pPr>
        <w:spacing w:after="160" w:line="254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Estas son algunas de las conclusiones del estudio liderado por área de Salud Mental del CIBER y el Hospital </w:t>
      </w:r>
      <w:proofErr w:type="spellStart"/>
      <w:r>
        <w:rPr>
          <w:b/>
          <w:i/>
          <w:sz w:val="24"/>
          <w:szCs w:val="24"/>
        </w:rPr>
        <w:t>Clínic</w:t>
      </w:r>
      <w:proofErr w:type="spellEnd"/>
      <w:r>
        <w:rPr>
          <w:b/>
          <w:i/>
          <w:sz w:val="24"/>
          <w:szCs w:val="24"/>
        </w:rPr>
        <w:t xml:space="preserve"> de Barcelona</w:t>
      </w:r>
    </w:p>
    <w:p w14:paraId="27E855CA" w14:textId="77777777" w:rsidR="00776E6A" w:rsidRDefault="00F07140">
      <w:pPr>
        <w:spacing w:after="160" w:line="254" w:lineRule="auto"/>
        <w:jc w:val="both"/>
      </w:pPr>
      <w:r>
        <w:t xml:space="preserve"> </w:t>
      </w:r>
    </w:p>
    <w:p w14:paraId="172FF92E" w14:textId="77777777" w:rsidR="00776E6A" w:rsidRDefault="00F07140">
      <w:pPr>
        <w:spacing w:after="160" w:line="254" w:lineRule="auto"/>
        <w:jc w:val="both"/>
      </w:pPr>
      <w:r>
        <w:rPr>
          <w:b/>
          <w:i/>
        </w:rPr>
        <w:t>Madrid, 3 de mayo de 2023</w:t>
      </w:r>
      <w:r>
        <w:t>. La detección precoz en pacientes con trastornos psicóticos es crucial para poder diagnosticarlos, t</w:t>
      </w:r>
      <w:r>
        <w:t xml:space="preserve">ratarlos, y mejorar su pronóstico. Los resultados de un estudio enfatizan que </w:t>
      </w:r>
      <w:r>
        <w:rPr>
          <w:b/>
        </w:rPr>
        <w:t>las manifestaciones clínicas, según la edad del paciente, pueden llegar a confundir, y retrasar el tratamiento</w:t>
      </w:r>
      <w:r>
        <w:t>. Este periodo de tiempo también está influenciado por el tipo de sí</w:t>
      </w:r>
      <w:r>
        <w:t xml:space="preserve">ntomas del paciente, por lo que el abordaje de la detección </w:t>
      </w:r>
      <w:proofErr w:type="gramStart"/>
      <w:r>
        <w:t>precoz,</w:t>
      </w:r>
      <w:proofErr w:type="gramEnd"/>
      <w:r>
        <w:t xml:space="preserve"> ha de tener en cuenta estos aspectos para mejorar la calidad futura de las personas con un trastorno psicótico. </w:t>
      </w:r>
    </w:p>
    <w:p w14:paraId="2677288A" w14:textId="77777777" w:rsidR="00776E6A" w:rsidRDefault="00F07140">
      <w:pPr>
        <w:spacing w:after="160" w:line="254" w:lineRule="auto"/>
        <w:jc w:val="both"/>
      </w:pPr>
      <w:r>
        <w:t xml:space="preserve">Este es uno de los resultados que se desprende del estudio liderado por el </w:t>
      </w:r>
      <w:r>
        <w:t>área de Salud Mental del CIBER (</w:t>
      </w:r>
      <w:hyperlink r:id="rId7">
        <w:r>
          <w:t>CIBERSAM</w:t>
        </w:r>
      </w:hyperlink>
      <w:r>
        <w:t xml:space="preserve">), con la participación de varios grupos de trabajo integrados en el área, y el Hospital </w:t>
      </w:r>
      <w:proofErr w:type="spellStart"/>
      <w:r>
        <w:t>Clínic</w:t>
      </w:r>
      <w:proofErr w:type="spellEnd"/>
      <w:r>
        <w:t xml:space="preserve"> de Barcelona.</w:t>
      </w:r>
    </w:p>
    <w:p w14:paraId="445AECE8" w14:textId="77777777" w:rsidR="00776E6A" w:rsidRDefault="00F07140">
      <w:pPr>
        <w:spacing w:after="160" w:line="254" w:lineRule="auto"/>
        <w:jc w:val="both"/>
      </w:pPr>
      <w:r>
        <w:t>Respecto a la edad, otro de l</w:t>
      </w:r>
      <w:r>
        <w:t xml:space="preserve">os avances de la investigación, es el hecho de que se ha observado, que </w:t>
      </w:r>
      <w:r>
        <w:rPr>
          <w:b/>
        </w:rPr>
        <w:t xml:space="preserve">los pacientes menores de 18 </w:t>
      </w:r>
      <w:proofErr w:type="gramStart"/>
      <w:r>
        <w:rPr>
          <w:b/>
        </w:rPr>
        <w:t>años,</w:t>
      </w:r>
      <w:proofErr w:type="gramEnd"/>
      <w:r>
        <w:rPr>
          <w:b/>
        </w:rPr>
        <w:t xml:space="preserve"> tardan más en iniciar un tratamiento para el trastorno psicótico</w:t>
      </w:r>
      <w:r>
        <w:t xml:space="preserve">, que los adultos. </w:t>
      </w:r>
      <w:proofErr w:type="gramStart"/>
      <w:r>
        <w:t>En relación a</w:t>
      </w:r>
      <w:proofErr w:type="gramEnd"/>
      <w:r>
        <w:t xml:space="preserve"> los síntomas prodrómicos (los primeros en aparecer), </w:t>
      </w:r>
      <w:r>
        <w:t xml:space="preserve">algunos de los que presentan los pacientes que acaban teniendo un trastorno bipolar al año del primer episodio psicótico, pueden tener un diferente perfil que los que tendrán una esquizofrenia. </w:t>
      </w:r>
    </w:p>
    <w:p w14:paraId="6F3F51A7" w14:textId="77777777" w:rsidR="00776E6A" w:rsidRDefault="00F07140">
      <w:pPr>
        <w:spacing w:after="0"/>
        <w:jc w:val="both"/>
      </w:pPr>
      <w:r>
        <w:t>El objetivo de la investigación era comparar la sintomatologí</w:t>
      </w:r>
      <w:r>
        <w:t>a prodrómica y la duración de la psicosis no tratada (DUP), de pacientes con un primer episodio psicótico, según la edad de inicio (temprano o en la edad adulta), y el diagnóstico al año (esquizofrenia o trastorno bipolar), utilizando una escala estructura</w:t>
      </w:r>
      <w:r>
        <w:t xml:space="preserve">da: la </w:t>
      </w:r>
      <w:proofErr w:type="spellStart"/>
      <w:r>
        <w:rPr>
          <w:i/>
        </w:rPr>
        <w:t>Symptom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Onset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Schizophrenia</w:t>
      </w:r>
      <w:proofErr w:type="spellEnd"/>
      <w:r>
        <w:t xml:space="preserve"> (SOS). </w:t>
      </w:r>
    </w:p>
    <w:p w14:paraId="6B2C578C" w14:textId="77777777" w:rsidR="00776E6A" w:rsidRDefault="00F07140">
      <w:pPr>
        <w:spacing w:after="0"/>
        <w:jc w:val="both"/>
      </w:pPr>
      <w:r>
        <w:t xml:space="preserve"> </w:t>
      </w:r>
    </w:p>
    <w:p w14:paraId="1F2774A5" w14:textId="77777777" w:rsidR="00776E6A" w:rsidRDefault="00F07140">
      <w:pPr>
        <w:spacing w:after="0"/>
        <w:jc w:val="both"/>
        <w:rPr>
          <w:b/>
        </w:rPr>
      </w:pPr>
      <w:r>
        <w:rPr>
          <w:b/>
        </w:rPr>
        <w:t>Muestra del estudio</w:t>
      </w:r>
    </w:p>
    <w:p w14:paraId="47B2AF3D" w14:textId="77777777" w:rsidR="00776E6A" w:rsidRDefault="00F07140">
      <w:pPr>
        <w:spacing w:after="0"/>
        <w:jc w:val="both"/>
      </w:pPr>
      <w:r>
        <w:t xml:space="preserve"> </w:t>
      </w:r>
    </w:p>
    <w:p w14:paraId="2CF99413" w14:textId="77777777" w:rsidR="00776E6A" w:rsidRDefault="00F07140">
      <w:pPr>
        <w:spacing w:after="0"/>
        <w:jc w:val="both"/>
      </w:pPr>
      <w:r>
        <w:t xml:space="preserve">La investigación incluyó 331 pacientes, de los que 58 fueron menores de edad, y en el mismo, se pudo observar que los menores tenían una duración de </w:t>
      </w:r>
      <w:r>
        <w:rPr>
          <w:b/>
        </w:rPr>
        <w:t>psicosis no tratada (DUP),</w:t>
      </w:r>
      <w:r>
        <w:t xml:space="preserve"> significat</w:t>
      </w:r>
      <w:r>
        <w:t>ivamente más larga que los adultos, y una mayor frecuencia de algunos síntomas prodrómicos, como las alucinaciones y problemas con el pensamiento.</w:t>
      </w:r>
    </w:p>
    <w:p w14:paraId="7DB2595E" w14:textId="77777777" w:rsidR="00776E6A" w:rsidRDefault="00F07140">
      <w:pPr>
        <w:spacing w:after="0"/>
        <w:jc w:val="both"/>
      </w:pPr>
      <w:r>
        <w:t xml:space="preserve"> </w:t>
      </w:r>
    </w:p>
    <w:p w14:paraId="3E1B5B64" w14:textId="77777777" w:rsidR="00776E6A" w:rsidRDefault="00F07140">
      <w:pPr>
        <w:spacing w:after="0"/>
        <w:jc w:val="both"/>
      </w:pPr>
      <w:r>
        <w:lastRenderedPageBreak/>
        <w:t xml:space="preserve">Por otro parte, según explica Inmaculada Baeza, investigadora del </w:t>
      </w:r>
      <w:hyperlink r:id="rId8">
        <w:r>
          <w:t>CIBERSAM</w:t>
        </w:r>
      </w:hyperlink>
      <w:r>
        <w:t xml:space="preserve"> y del Hospital Clínico de Barcelona, y líder del estudio: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“aquellos pacientes con esquizofrenia presentaban una psicosis no tratada más elevada, que los que manifestaban un trastorno bipolar, y un perfil de síntomas prodrómicos (de inicio), distintos. Por un lado, resultaba más frecuente la disforia, tristeza, an</w:t>
      </w:r>
      <w:r>
        <w:t>siedad o irritabilidad, y los problemas del sueño, en los bipolares; y alucinaciones, ideas delirantes, aislamiento social y disminución de la experiencia de las emociones en los diagnosticados de esquizofrenia”.</w:t>
      </w:r>
    </w:p>
    <w:p w14:paraId="3A8DE910" w14:textId="77777777" w:rsidR="00776E6A" w:rsidRDefault="00F07140">
      <w:pPr>
        <w:spacing w:after="0"/>
        <w:jc w:val="both"/>
      </w:pPr>
      <w:r>
        <w:t xml:space="preserve"> </w:t>
      </w:r>
    </w:p>
    <w:p w14:paraId="7132ED91" w14:textId="77777777" w:rsidR="00776E6A" w:rsidRDefault="00F07140">
      <w:pPr>
        <w:spacing w:after="160" w:line="254" w:lineRule="auto"/>
        <w:jc w:val="both"/>
      </w:pPr>
      <w:r>
        <w:t>En síntesis, los resultados de este estud</w:t>
      </w:r>
      <w:r>
        <w:t xml:space="preserve">io nos indican varios puntos importantes a nivel clínico, que tienen que ver con la edad de los pacientes, y el tipo de síntomas al inicio de la primera etapa (prodrómica), de un trastorno psicótico. </w:t>
      </w:r>
    </w:p>
    <w:p w14:paraId="49D0BCF3" w14:textId="77777777" w:rsidR="00776E6A" w:rsidRDefault="00F07140">
      <w:pPr>
        <w:spacing w:after="160" w:line="254" w:lineRule="auto"/>
        <w:jc w:val="both"/>
      </w:pPr>
      <w:r>
        <w:t>Por todo ello, esta investigación nos demuestra que hay</w:t>
      </w:r>
      <w:r>
        <w:t xml:space="preserve"> que estar extremadamente atentos a la clínica que presentan los pacientes, para poder precisar cuanto antes su diagnóstico, </w:t>
      </w:r>
      <w:proofErr w:type="gramStart"/>
      <w:r>
        <w:t>y</w:t>
      </w:r>
      <w:proofErr w:type="gramEnd"/>
      <w:r>
        <w:t xml:space="preserve"> por ende, el tratamiento más adecuado a su patología. </w:t>
      </w:r>
    </w:p>
    <w:p w14:paraId="67ED980F" w14:textId="77777777" w:rsidR="00776E6A" w:rsidRDefault="00F07140">
      <w:pPr>
        <w:spacing w:after="0"/>
        <w:jc w:val="both"/>
      </w:pPr>
      <w:r>
        <w:t xml:space="preserve">El estudio derivado del </w:t>
      </w:r>
      <w:r>
        <w:rPr>
          <w:b/>
        </w:rPr>
        <w:t>Proyecto de Primeros Episodios Psicóticos</w:t>
      </w:r>
      <w:r>
        <w:t xml:space="preserve"> (</w:t>
      </w:r>
      <w:proofErr w:type="spellStart"/>
      <w:r>
        <w:t>PEPs</w:t>
      </w:r>
      <w:proofErr w:type="spellEnd"/>
      <w:r>
        <w:t xml:space="preserve">) ha sido publicado por la revista </w:t>
      </w:r>
      <w:hyperlink r:id="rId9">
        <w:proofErr w:type="spellStart"/>
        <w:r>
          <w:rPr>
            <w:i/>
          </w:rPr>
          <w:t>European</w:t>
        </w:r>
        <w:proofErr w:type="spellEnd"/>
        <w:r>
          <w:rPr>
            <w:i/>
          </w:rPr>
          <w:t xml:space="preserve"> Child and </w:t>
        </w:r>
        <w:proofErr w:type="spellStart"/>
        <w:r>
          <w:rPr>
            <w:i/>
          </w:rPr>
          <w:t>Adolescent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Psichiatry</w:t>
        </w:r>
        <w:proofErr w:type="spellEnd"/>
      </w:hyperlink>
      <w:r>
        <w:t>, y ha contado con la participación de 16 centros</w:t>
      </w:r>
      <w:r>
        <w:t xml:space="preserve"> españoles, además, muchos </w:t>
      </w:r>
      <w:proofErr w:type="gramStart"/>
      <w:r>
        <w:t>de  los</w:t>
      </w:r>
      <w:proofErr w:type="gramEnd"/>
      <w:r>
        <w:t xml:space="preserve"> grupos, pertenecen al del </w:t>
      </w:r>
      <w:r>
        <w:rPr>
          <w:b/>
        </w:rPr>
        <w:t xml:space="preserve">Centro de Investigación Biomédica en Red sobre Salud Mental </w:t>
      </w:r>
      <w:r>
        <w:t>(</w:t>
      </w:r>
      <w:hyperlink r:id="rId10">
        <w:r>
          <w:t>CIBERSAM</w:t>
        </w:r>
      </w:hyperlink>
      <w:r>
        <w:t>), liderado por Baeza.</w:t>
      </w:r>
    </w:p>
    <w:p w14:paraId="20EF52DD" w14:textId="77777777" w:rsidR="00776E6A" w:rsidRDefault="00F07140">
      <w:pPr>
        <w:spacing w:after="0" w:line="360" w:lineRule="auto"/>
        <w:jc w:val="both"/>
      </w:pPr>
      <w:r>
        <w:t xml:space="preserve"> </w:t>
      </w:r>
    </w:p>
    <w:p w14:paraId="184AB2D7" w14:textId="77777777" w:rsidR="00776E6A" w:rsidRDefault="00F07140">
      <w:pPr>
        <w:spacing w:after="0" w:line="360" w:lineRule="auto"/>
        <w:jc w:val="both"/>
        <w:rPr>
          <w:b/>
        </w:rPr>
      </w:pPr>
      <w:r>
        <w:rPr>
          <w:b/>
        </w:rPr>
        <w:t xml:space="preserve">Sobre el </w:t>
      </w:r>
      <w:hyperlink r:id="rId11">
        <w:r>
          <w:rPr>
            <w:b/>
          </w:rPr>
          <w:t>CIBER</w:t>
        </w:r>
      </w:hyperlink>
    </w:p>
    <w:p w14:paraId="04BBB1AF" w14:textId="77777777" w:rsidR="00776E6A" w:rsidRDefault="00F07140">
      <w:pPr>
        <w:spacing w:before="280" w:after="280" w:line="360" w:lineRule="auto"/>
        <w:jc w:val="both"/>
      </w:pPr>
      <w:r>
        <w:t>El Centro de Investigación Biomédica en Red (CIBER) es un consorcio público adscrito al Instituto de Salud Carlos III (Ministerio de Ciencia e Innovación) y está cofinanciado por el Fo</w:t>
      </w:r>
      <w:r>
        <w:t>ndo Europeo de Desarrollo Regional (FEDER). Su objetivo es impulsar la investigación de excelencia en biomedicina y ciencias de la salud que se realiza en el Sistema Nacional de Salud y en el Sistema de Ciencia y Tecnología.  En la actualidad, el CIBER cue</w:t>
      </w:r>
      <w:r>
        <w:t>nta con más de 500 grupos de investigación y una plantilla de cerca de 6.000 personas entre personal investigador adscrito y contratado, pertenecientes a más de 100 instituciones consorciadas.</w:t>
      </w:r>
    </w:p>
    <w:p w14:paraId="2F9C364E" w14:textId="77777777" w:rsidR="00776E6A" w:rsidRDefault="00F07140">
      <w:pPr>
        <w:spacing w:before="280" w:after="160" w:line="360" w:lineRule="auto"/>
        <w:jc w:val="both"/>
        <w:rPr>
          <w:b/>
        </w:rPr>
      </w:pPr>
      <w:r>
        <w:rPr>
          <w:b/>
        </w:rPr>
        <w:t xml:space="preserve">REFERENCIA DEL ARTÍCULO: </w:t>
      </w:r>
    </w:p>
    <w:p w14:paraId="16DC1CDD" w14:textId="77777777" w:rsidR="00776E6A" w:rsidRDefault="00F07140">
      <w:pPr>
        <w:spacing w:before="280" w:after="160" w:line="360" w:lineRule="auto"/>
        <w:jc w:val="both"/>
      </w:pPr>
      <w:r>
        <w:t xml:space="preserve">Baeza, I., de la Serna, E., </w:t>
      </w:r>
      <w:proofErr w:type="spellStart"/>
      <w:r>
        <w:t>Mezquida</w:t>
      </w:r>
      <w:proofErr w:type="spellEnd"/>
      <w:r>
        <w:t>,</w:t>
      </w:r>
      <w:r>
        <w:t xml:space="preserve"> G. </w:t>
      </w:r>
      <w:r>
        <w:rPr>
          <w:i/>
        </w:rPr>
        <w:t>et al.</w:t>
      </w:r>
      <w:r>
        <w:t xml:space="preserve"> </w:t>
      </w:r>
      <w:proofErr w:type="spellStart"/>
      <w:r>
        <w:t>Prodromal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untreated</w:t>
      </w:r>
      <w:proofErr w:type="spellEnd"/>
      <w:r>
        <w:t xml:space="preserve"> </w:t>
      </w:r>
      <w:proofErr w:type="spellStart"/>
      <w:r>
        <w:t>psychosis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episode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psychosis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vs.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onset</w:t>
      </w:r>
      <w:proofErr w:type="spellEnd"/>
      <w:r>
        <w:t xml:space="preserve"> and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schizophrenia</w:t>
      </w:r>
      <w:proofErr w:type="spellEnd"/>
      <w:r>
        <w:t xml:space="preserve"> vs. bipolar </w:t>
      </w:r>
      <w:proofErr w:type="spellStart"/>
      <w:proofErr w:type="gramStart"/>
      <w:r>
        <w:t>disorder</w:t>
      </w:r>
      <w:proofErr w:type="spellEnd"/>
      <w:r>
        <w:t>?.</w:t>
      </w:r>
      <w:proofErr w:type="gramEnd"/>
      <w:r>
        <w:t xml:space="preserve">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Child </w:t>
      </w:r>
      <w:proofErr w:type="spellStart"/>
      <w:r>
        <w:rPr>
          <w:i/>
        </w:rPr>
        <w:t>Adolesc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Psychiatry</w:t>
      </w:r>
      <w:proofErr w:type="spellEnd"/>
      <w:r>
        <w:t xml:space="preserve"> (2023).</w:t>
      </w:r>
      <w:r>
        <w:t xml:space="preserve"> </w:t>
      </w:r>
      <w:hyperlink r:id="rId12">
        <w:r>
          <w:t>https://doi.org/10.1007/s00787-023-02196-7</w:t>
        </w:r>
      </w:hyperlink>
    </w:p>
    <w:p w14:paraId="154C0B8D" w14:textId="77777777" w:rsidR="00776E6A" w:rsidRDefault="00776E6A">
      <w:pPr>
        <w:spacing w:before="280" w:after="160" w:line="360" w:lineRule="auto"/>
        <w:jc w:val="both"/>
        <w:rPr>
          <w:b/>
          <w:sz w:val="44"/>
          <w:szCs w:val="44"/>
        </w:rPr>
      </w:pPr>
    </w:p>
    <w:p w14:paraId="2163DBB8" w14:textId="77777777" w:rsidR="00776E6A" w:rsidRDefault="00776E6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b/>
          <w:sz w:val="36"/>
          <w:szCs w:val="36"/>
        </w:rPr>
      </w:pPr>
    </w:p>
    <w:sectPr w:rsidR="00776E6A">
      <w:headerReference w:type="default" r:id="rId13"/>
      <w:footerReference w:type="default" r:id="rId14"/>
      <w:pgSz w:w="11906" w:h="16838"/>
      <w:pgMar w:top="1417" w:right="1701" w:bottom="1417" w:left="1701" w:header="708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5CB6" w14:textId="77777777" w:rsidR="00000000" w:rsidRDefault="00F07140">
      <w:pPr>
        <w:spacing w:after="0" w:line="240" w:lineRule="auto"/>
      </w:pPr>
      <w:r>
        <w:separator/>
      </w:r>
    </w:p>
  </w:endnote>
  <w:endnote w:type="continuationSeparator" w:id="0">
    <w:p w14:paraId="49820EDC" w14:textId="77777777" w:rsidR="00000000" w:rsidRDefault="00F0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422B" w14:textId="77777777" w:rsidR="00776E6A" w:rsidRDefault="00776E6A"/>
  <w:tbl>
    <w:tblPr>
      <w:tblStyle w:val="a1"/>
      <w:tblW w:w="850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629"/>
      <w:gridCol w:w="4875"/>
    </w:tblGrid>
    <w:tr w:rsidR="00776E6A" w14:paraId="4B5F1F41" w14:textId="77777777" w:rsidTr="00776E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29" w:type="dxa"/>
        </w:tcPr>
        <w:p w14:paraId="5478545F" w14:textId="77777777" w:rsidR="00776E6A" w:rsidRDefault="00F071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 w:val="0"/>
              <w:color w:val="000000"/>
              <w:sz w:val="16"/>
              <w:szCs w:val="16"/>
            </w:rPr>
            <w:t>Unidad de Cultura Científica</w:t>
          </w:r>
        </w:p>
        <w:p w14:paraId="274997CE" w14:textId="77777777" w:rsidR="00776E6A" w:rsidRDefault="00F071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hyperlink r:id="rId1">
            <w:r>
              <w:rPr>
                <w:rFonts w:ascii="Arial" w:eastAsia="Arial" w:hAnsi="Arial" w:cs="Arial"/>
                <w:b w:val="0"/>
                <w:color w:val="0000FF"/>
                <w:sz w:val="16"/>
                <w:szCs w:val="16"/>
                <w:u w:val="single"/>
              </w:rPr>
              <w:t>cultura.cientifica@ciberisciii.es</w:t>
            </w:r>
          </w:hyperlink>
          <w:r>
            <w:rPr>
              <w:rFonts w:ascii="Arial" w:eastAsia="Arial" w:hAnsi="Arial" w:cs="Arial"/>
              <w:b w:val="0"/>
              <w:color w:val="000000"/>
              <w:sz w:val="16"/>
              <w:szCs w:val="16"/>
            </w:rPr>
            <w:t xml:space="preserve"> </w:t>
          </w:r>
        </w:p>
      </w:tc>
      <w:tc>
        <w:tcPr>
          <w:tcW w:w="4875" w:type="dxa"/>
        </w:tcPr>
        <w:p w14:paraId="4D5184C4" w14:textId="77777777" w:rsidR="00776E6A" w:rsidRDefault="00776E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 w:line="288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1B3EE877" w14:textId="77777777" w:rsidR="00776E6A" w:rsidRDefault="00776E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88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DDDD" w14:textId="77777777" w:rsidR="00000000" w:rsidRDefault="00F07140">
      <w:pPr>
        <w:spacing w:after="0" w:line="240" w:lineRule="auto"/>
      </w:pPr>
      <w:r>
        <w:separator/>
      </w:r>
    </w:p>
  </w:footnote>
  <w:footnote w:type="continuationSeparator" w:id="0">
    <w:p w14:paraId="3BF2BBCB" w14:textId="77777777" w:rsidR="00000000" w:rsidRDefault="00F0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71F2" w14:textId="77777777" w:rsidR="00776E6A" w:rsidRDefault="00F07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04"/>
      </w:tabs>
      <w:spacing w:after="0" w:line="240" w:lineRule="auto"/>
      <w:ind w:right="-1135"/>
      <w:rPr>
        <w:color w:val="000000"/>
      </w:rPr>
    </w:pPr>
    <w:r>
      <w:rPr>
        <w:noProof/>
        <w:color w:val="000000"/>
      </w:rPr>
      <w:drawing>
        <wp:inline distT="0" distB="0" distL="0" distR="0" wp14:anchorId="5F6CB5C8" wp14:editId="6886A57A">
          <wp:extent cx="1767272" cy="842623"/>
          <wp:effectExtent l="0" t="0" r="0" b="0"/>
          <wp:docPr id="17" name="image1.jp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 perro&#10;&#10;Descripción generada automáticamente con confianza media"/>
                  <pic:cNvPicPr preferRelativeResize="0"/>
                </pic:nvPicPr>
                <pic:blipFill>
                  <a:blip r:embed="rId1"/>
                  <a:srcRect r="58195" b="4615"/>
                  <a:stretch>
                    <a:fillRect/>
                  </a:stretch>
                </pic:blipFill>
                <pic:spPr>
                  <a:xfrm>
                    <a:off x="0" y="0"/>
                    <a:ext cx="1767272" cy="842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457200" distR="114300" simplePos="0" relativeHeight="251658240" behindDoc="0" locked="0" layoutInCell="1" hidden="0" allowOverlap="1" wp14:anchorId="108721C6" wp14:editId="2B276459">
              <wp:simplePos x="0" y="0"/>
              <wp:positionH relativeFrom="page">
                <wp:posOffset>268355</wp:posOffset>
              </wp:positionH>
              <wp:positionV relativeFrom="margin">
                <wp:posOffset>141924</wp:posOffset>
              </wp:positionV>
              <wp:extent cx="832484" cy="968438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1566000" y="3378045"/>
                        <a:ext cx="756000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47F20" w14:textId="77777777" w:rsidR="00776E6A" w:rsidRDefault="00F07140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7365D"/>
                              <w:sz w:val="48"/>
                            </w:rPr>
                            <w:t>NOTA DE PRENSA</w:t>
                          </w:r>
                        </w:p>
                      </w:txbxContent>
                    </wps:txbx>
                    <wps:bodyPr spcFirstLastPara="1" wrap="square" lIns="182875" tIns="182875" rIns="182875" bIns="1828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8721C6" id="_x0000_s1026" style="position:absolute;margin-left:21.15pt;margin-top:11.2pt;width:65.55pt;height:762.55pt;rotation:-90;z-index:251658240;visibility:visible;mso-wrap-style:square;mso-wrap-distance-left:36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" filled="f" stroked="f">
              <v:textbox inset="5.07986mm,5.07986mm,5.07986mm,5.07986mm">
                <w:txbxContent>
                  <w:p w14:paraId="55747F20" w14:textId="77777777" w:rsidR="00776E6A" w:rsidRDefault="00F07140">
                    <w:pPr>
                      <w:spacing w:after="0" w:line="275" w:lineRule="auto"/>
                      <w:textDirection w:val="btLr"/>
                    </w:pPr>
                    <w:r>
                      <w:rPr>
                        <w:b/>
                        <w:color w:val="17365D"/>
                        <w:sz w:val="48"/>
                      </w:rPr>
                      <w:t>NOTA DE PRENSA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color w:val="000000"/>
      </w:rPr>
      <w:t xml:space="preserve">                                                 </w:t>
    </w:r>
    <w:r>
      <w:rPr>
        <w:noProof/>
        <w:color w:val="000000"/>
      </w:rPr>
      <w:drawing>
        <wp:inline distT="0" distB="0" distL="0" distR="0" wp14:anchorId="214185BF" wp14:editId="69B4BAF0">
          <wp:extent cx="2156706" cy="774392"/>
          <wp:effectExtent l="0" t="0" r="0" b="0"/>
          <wp:docPr id="18" name="image1.jp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 perro&#10;&#10;Descripción generada automáticamente con confianza media"/>
                  <pic:cNvPicPr preferRelativeResize="0"/>
                </pic:nvPicPr>
                <pic:blipFill>
                  <a:blip r:embed="rId1"/>
                  <a:srcRect l="41804"/>
                  <a:stretch>
                    <a:fillRect/>
                  </a:stretch>
                </pic:blipFill>
                <pic:spPr>
                  <a:xfrm>
                    <a:off x="0" y="0"/>
                    <a:ext cx="2156706" cy="774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6A"/>
    <w:rsid w:val="00776E6A"/>
    <w:rsid w:val="00F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73C8"/>
  <w15:docId w15:val="{1D0CD7B2-B601-4449-813B-09A69B1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333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2F6"/>
  </w:style>
  <w:style w:type="paragraph" w:styleId="Piedepgina">
    <w:name w:val="footer"/>
    <w:basedOn w:val="Normal"/>
    <w:link w:val="PiedepginaCar"/>
    <w:uiPriority w:val="99"/>
    <w:unhideWhenUsed/>
    <w:rsid w:val="00A9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2F6"/>
  </w:style>
  <w:style w:type="paragraph" w:styleId="Prrafodelista">
    <w:name w:val="List Paragraph"/>
    <w:basedOn w:val="Normal"/>
    <w:uiPriority w:val="34"/>
    <w:qFormat/>
    <w:rsid w:val="00DD4A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20E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1320E5"/>
  </w:style>
  <w:style w:type="paragraph" w:styleId="Revisin">
    <w:name w:val="Revision"/>
    <w:hidden/>
    <w:uiPriority w:val="99"/>
    <w:semiHidden/>
    <w:rsid w:val="006317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E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0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6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6F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1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16C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6CE9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8F00F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336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3682"/>
    <w:rPr>
      <w:b/>
      <w:bCs/>
    </w:rPr>
  </w:style>
  <w:style w:type="character" w:customStyle="1" w:styleId="video-url-fadeable">
    <w:name w:val="video-url-fadeable"/>
    <w:basedOn w:val="Fuentedeprrafopredeter"/>
    <w:rsid w:val="00333682"/>
  </w:style>
  <w:style w:type="character" w:styleId="Hipervnculovisitado">
    <w:name w:val="FollowedHyperlink"/>
    <w:basedOn w:val="Fuentedeprrafopredeter"/>
    <w:uiPriority w:val="99"/>
    <w:semiHidden/>
    <w:unhideWhenUsed/>
    <w:rsid w:val="00065D2D"/>
    <w:rPr>
      <w:color w:val="800080" w:themeColor="followedHyperlink"/>
      <w:u w:val="single"/>
    </w:rPr>
  </w:style>
  <w:style w:type="character" w:customStyle="1" w:styleId="downloadlinklink">
    <w:name w:val="downloadlinklink"/>
    <w:basedOn w:val="Fuentedeprrafopredeter"/>
    <w:rsid w:val="009664CB"/>
  </w:style>
  <w:style w:type="paragraph" w:customStyle="1" w:styleId="gmail-msolistparagraph">
    <w:name w:val="gmail-msolistparagraph"/>
    <w:basedOn w:val="Normal"/>
    <w:rsid w:val="0043395C"/>
    <w:pPr>
      <w:spacing w:before="100" w:beforeAutospacing="1" w:after="100" w:afterAutospacing="1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sam.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bersam.es/" TargetMode="External"/><Relationship Id="rId12" Type="http://schemas.openxmlformats.org/officeDocument/2006/relationships/hyperlink" Target="https://doi.org/10.1007/s00787-023-02196-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berisciii.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bersam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inger.com/journal/78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.cientifica@ciberisciii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</a:spPr>
      <a:bodyPr rot="0" vert="vert270" wrap="square" lIns="182880" tIns="182880" rIns="182880" bIns="18288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J2C9vGcqfmgT21jf5wzlWM5K7w==">AMUW2mV5uelstFRcWASGHCdfuFRHGy7xz8RxNZ2rxkaX+xDsQnlkJhBrEdiJqsGBxvGHlsZh9SnHoY4AdeCH6eo/fRcq248dldWuyHn3NxmBML+kk5bE/F0=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4241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2023-05-03T07:06:00Z</dcterms:created>
  <dcterms:modified xsi:type="dcterms:W3CDTF">2023-05-03T07:06:00Z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0x0101009D61999D2CD0C640A3B57EB363576507</vt:lpwstr>
  </property>
</Properties>
</file>