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0"/>
        <w:gridCol w:w="2279"/>
        <w:gridCol w:w="4559"/>
      </w:tblGrid>
      <w:tr w:rsidR="00F25363" w:rsidTr="00EF5182">
        <w:trPr>
          <w:cantSplit/>
          <w:trHeight w:val="538"/>
        </w:trPr>
        <w:tc>
          <w:tcPr>
            <w:tcW w:w="1440" w:type="dxa"/>
            <w:vMerge w:val="restart"/>
            <w:tcBorders>
              <w:top w:val="nil"/>
              <w:left w:val="nil"/>
              <w:bottom w:val="nil"/>
              <w:right w:val="nil"/>
            </w:tcBorders>
            <w:hideMark/>
          </w:tcPr>
          <w:p w:rsidR="00F25363" w:rsidRDefault="00F25363" w:rsidP="00EF5182">
            <w:pPr>
              <w:pStyle w:val="Encabezado"/>
              <w:tabs>
                <w:tab w:val="left" w:pos="708"/>
              </w:tabs>
              <w:spacing w:line="252" w:lineRule="auto"/>
              <w:rPr>
                <w:lang w:eastAsia="en-US"/>
              </w:rPr>
            </w:pPr>
            <w:r>
              <w:rPr>
                <w:lang w:eastAsia="en-US"/>
              </w:rPr>
              <w:object w:dxaOrig="1150" w:dyaOrig="1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57.5pt" o:ole="" fillcolor="window">
                  <v:imagedata r:id="rId5" o:title=""/>
                </v:shape>
                <o:OLEObject Type="Embed" ProgID="Word.Picture.8" ShapeID="_x0000_i1025" DrawAspect="Content" ObjectID="_1691936861" r:id="rId6"/>
              </w:object>
            </w:r>
          </w:p>
        </w:tc>
        <w:tc>
          <w:tcPr>
            <w:tcW w:w="2279" w:type="dxa"/>
            <w:vMerge w:val="restart"/>
            <w:tcBorders>
              <w:top w:val="nil"/>
              <w:left w:val="nil"/>
              <w:bottom w:val="nil"/>
              <w:right w:val="single" w:sz="4" w:space="0" w:color="auto"/>
            </w:tcBorders>
            <w:hideMark/>
          </w:tcPr>
          <w:p w:rsidR="00F25363" w:rsidRDefault="00F25363" w:rsidP="00EF5182">
            <w:pPr>
              <w:spacing w:before="360" w:line="252" w:lineRule="auto"/>
              <w:rPr>
                <w:rFonts w:ascii="Garamond" w:hAnsi="Garamond" w:cs="Garamond"/>
                <w:lang w:eastAsia="en-US"/>
              </w:rPr>
            </w:pPr>
            <w:r>
              <w:rPr>
                <w:rFonts w:ascii="Gill Sans MT" w:hAnsi="Gill Sans MT" w:cs="Gill Sans MT"/>
                <w:sz w:val="22"/>
                <w:szCs w:val="22"/>
                <w:lang w:eastAsia="en-US"/>
              </w:rPr>
              <w:t xml:space="preserve">MINISTERIO </w:t>
            </w:r>
          </w:p>
          <w:p w:rsidR="00F25363" w:rsidRDefault="00F25363" w:rsidP="00EF5182">
            <w:pPr>
              <w:pStyle w:val="Encabezado"/>
              <w:tabs>
                <w:tab w:val="clear" w:pos="4252"/>
                <w:tab w:val="left" w:pos="2127"/>
                <w:tab w:val="left" w:pos="6521"/>
              </w:tabs>
              <w:spacing w:line="252" w:lineRule="auto"/>
              <w:rPr>
                <w:rFonts w:ascii="Gill Sans MT" w:hAnsi="Gill Sans MT" w:cs="Gill Sans MT"/>
                <w:lang w:eastAsia="en-US"/>
              </w:rPr>
            </w:pPr>
            <w:r>
              <w:rPr>
                <w:rFonts w:ascii="Gill Sans MT" w:hAnsi="Gill Sans MT" w:cs="Gill Sans MT"/>
                <w:sz w:val="22"/>
                <w:szCs w:val="22"/>
                <w:lang w:eastAsia="en-US"/>
              </w:rPr>
              <w:t>DE CIENCIA E INNOVACIÓN</w:t>
            </w:r>
          </w:p>
        </w:tc>
        <w:tc>
          <w:tcPr>
            <w:tcW w:w="4559" w:type="dxa"/>
            <w:tcBorders>
              <w:top w:val="nil"/>
              <w:left w:val="single" w:sz="4" w:space="0" w:color="auto"/>
              <w:bottom w:val="nil"/>
              <w:right w:val="nil"/>
            </w:tcBorders>
            <w:vAlign w:val="center"/>
          </w:tcPr>
          <w:p w:rsidR="00F25363" w:rsidRDefault="00F25363" w:rsidP="00EF5182">
            <w:pPr>
              <w:pStyle w:val="Encabezado"/>
              <w:tabs>
                <w:tab w:val="clear" w:pos="4252"/>
                <w:tab w:val="left" w:pos="6521"/>
              </w:tabs>
              <w:spacing w:after="240" w:line="252" w:lineRule="auto"/>
              <w:ind w:right="-2"/>
              <w:rPr>
                <w:rFonts w:ascii="Gill Sans MT" w:hAnsi="Gill Sans MT"/>
                <w:sz w:val="22"/>
                <w:lang w:eastAsia="en-US"/>
              </w:rPr>
            </w:pPr>
          </w:p>
          <w:p w:rsidR="00F25363" w:rsidRDefault="00F25363" w:rsidP="00EF5182">
            <w:pPr>
              <w:pStyle w:val="Encabezado"/>
              <w:tabs>
                <w:tab w:val="clear" w:pos="4252"/>
                <w:tab w:val="left" w:pos="6521"/>
              </w:tabs>
              <w:spacing w:after="240" w:line="252" w:lineRule="auto"/>
              <w:ind w:right="-2"/>
              <w:rPr>
                <w:kern w:val="16"/>
                <w:lang w:eastAsia="en-US"/>
              </w:rPr>
            </w:pPr>
            <w:r>
              <w:rPr>
                <w:kern w:val="16"/>
                <w:lang w:eastAsia="en-US"/>
              </w:rPr>
              <w:t>INSTITUTO DE SALUD CARLOS III</w:t>
            </w:r>
          </w:p>
        </w:tc>
      </w:tr>
      <w:tr w:rsidR="00F25363" w:rsidTr="00EF5182">
        <w:trPr>
          <w:cantSplit/>
          <w:trHeight w:val="39"/>
        </w:trPr>
        <w:tc>
          <w:tcPr>
            <w:tcW w:w="1440" w:type="dxa"/>
            <w:vMerge/>
            <w:tcBorders>
              <w:top w:val="nil"/>
              <w:left w:val="nil"/>
              <w:bottom w:val="nil"/>
              <w:right w:val="nil"/>
            </w:tcBorders>
            <w:vAlign w:val="center"/>
            <w:hideMark/>
          </w:tcPr>
          <w:p w:rsidR="00F25363" w:rsidRDefault="00F25363" w:rsidP="00EF5182">
            <w:pPr>
              <w:spacing w:line="256" w:lineRule="auto"/>
              <w:rPr>
                <w:lang w:eastAsia="en-US"/>
              </w:rPr>
            </w:pPr>
          </w:p>
        </w:tc>
        <w:tc>
          <w:tcPr>
            <w:tcW w:w="2279" w:type="dxa"/>
            <w:vMerge/>
            <w:tcBorders>
              <w:top w:val="nil"/>
              <w:left w:val="nil"/>
              <w:bottom w:val="nil"/>
              <w:right w:val="single" w:sz="4" w:space="0" w:color="auto"/>
            </w:tcBorders>
            <w:vAlign w:val="center"/>
            <w:hideMark/>
          </w:tcPr>
          <w:p w:rsidR="00F25363" w:rsidRDefault="00F25363" w:rsidP="00EF5182">
            <w:pPr>
              <w:spacing w:line="256" w:lineRule="auto"/>
              <w:rPr>
                <w:rFonts w:ascii="Gill Sans MT" w:hAnsi="Gill Sans MT" w:cs="Gill Sans MT"/>
                <w:lang w:eastAsia="en-US"/>
              </w:rPr>
            </w:pPr>
          </w:p>
        </w:tc>
        <w:tc>
          <w:tcPr>
            <w:tcW w:w="4559" w:type="dxa"/>
            <w:tcBorders>
              <w:top w:val="nil"/>
              <w:left w:val="single" w:sz="4" w:space="0" w:color="auto"/>
              <w:bottom w:val="nil"/>
              <w:right w:val="nil"/>
            </w:tcBorders>
            <w:shd w:val="clear" w:color="auto" w:fill="D9D9D9" w:themeFill="background1" w:themeFillShade="D9"/>
            <w:vAlign w:val="center"/>
            <w:hideMark/>
          </w:tcPr>
          <w:p w:rsidR="00F25363" w:rsidRDefault="00F25363" w:rsidP="00EF5182">
            <w:pPr>
              <w:pStyle w:val="Encabezado"/>
              <w:tabs>
                <w:tab w:val="clear" w:pos="4252"/>
                <w:tab w:val="left" w:pos="6521"/>
              </w:tabs>
              <w:spacing w:after="240" w:line="252" w:lineRule="auto"/>
              <w:ind w:right="214"/>
              <w:jc w:val="right"/>
              <w:rPr>
                <w:kern w:val="16"/>
                <w:lang w:eastAsia="en-US"/>
              </w:rPr>
            </w:pPr>
            <w:r>
              <w:rPr>
                <w:kern w:val="16"/>
                <w:lang w:eastAsia="en-US"/>
              </w:rPr>
              <w:t>Área de Comunicación y Divulgación</w:t>
            </w:r>
          </w:p>
        </w:tc>
      </w:tr>
    </w:tbl>
    <w:p w:rsidR="00F25363" w:rsidRDefault="00F25363" w:rsidP="00F25363"/>
    <w:p w:rsidR="00F25363" w:rsidRDefault="00F25363" w:rsidP="00F25363"/>
    <w:p w:rsidR="00F25363" w:rsidRDefault="00F25363" w:rsidP="00F25363">
      <w:pPr>
        <w:rPr>
          <w:rFonts w:ascii="Arial Narrow" w:hAnsi="Arial Narrow"/>
          <w:i/>
          <w:iCs/>
          <w:sz w:val="28"/>
          <w:szCs w:val="28"/>
          <w:u w:val="single"/>
        </w:rPr>
      </w:pPr>
    </w:p>
    <w:p w:rsidR="00F25363" w:rsidRPr="00F25363" w:rsidRDefault="00F25363" w:rsidP="00F25363">
      <w:pPr>
        <w:tabs>
          <w:tab w:val="left" w:pos="1560"/>
        </w:tabs>
        <w:spacing w:before="120"/>
        <w:ind w:left="28"/>
        <w:jc w:val="both"/>
        <w:rPr>
          <w:rFonts w:ascii="Arial Narrow" w:hAnsi="Arial Narrow" w:cstheme="minorHAnsi"/>
          <w:b/>
          <w:sz w:val="60"/>
          <w:szCs w:val="60"/>
        </w:rPr>
      </w:pPr>
      <w:r w:rsidRPr="00F25363">
        <w:rPr>
          <w:rFonts w:ascii="Arial Narrow" w:hAnsi="Arial Narrow" w:cstheme="minorHAnsi"/>
          <w:b/>
          <w:sz w:val="60"/>
          <w:szCs w:val="60"/>
        </w:rPr>
        <w:t xml:space="preserve">El ISCIII abre una nueva área temática sobre enfermedades infecciosas en el CIBER </w:t>
      </w:r>
    </w:p>
    <w:p w:rsidR="00F25363" w:rsidRDefault="00F25363" w:rsidP="00F25363">
      <w:pPr>
        <w:rPr>
          <w:rFonts w:ascii="Arial Narrow" w:hAnsi="Arial Narrow"/>
          <w:sz w:val="28"/>
          <w:szCs w:val="28"/>
        </w:rPr>
      </w:pPr>
    </w:p>
    <w:p w:rsidR="00F25363" w:rsidRDefault="00F25363" w:rsidP="00F25363">
      <w:pPr>
        <w:rPr>
          <w:rFonts w:ascii="Arial Narrow" w:hAnsi="Arial Narrow"/>
          <w:sz w:val="28"/>
          <w:szCs w:val="28"/>
        </w:rPr>
      </w:pPr>
    </w:p>
    <w:p w:rsidR="00F25363" w:rsidRDefault="00F25363" w:rsidP="00F25363">
      <w:pPr>
        <w:pStyle w:val="Prrafodelista"/>
        <w:numPr>
          <w:ilvl w:val="0"/>
          <w:numId w:val="1"/>
        </w:numPr>
        <w:jc w:val="both"/>
        <w:rPr>
          <w:rFonts w:ascii="Arial Narrow" w:hAnsi="Arial Narrow"/>
          <w:b/>
          <w:sz w:val="28"/>
          <w:szCs w:val="28"/>
        </w:rPr>
      </w:pPr>
      <w:r>
        <w:rPr>
          <w:rFonts w:ascii="Arial Narrow" w:hAnsi="Arial Narrow"/>
          <w:b/>
          <w:sz w:val="28"/>
          <w:szCs w:val="28"/>
        </w:rPr>
        <w:t xml:space="preserve">El Consorcio CIBER del Instituto de Salud Carlos III (ISCIII) añade una nueva área temática dedicada a las enfermedades infecciosas, que contará </w:t>
      </w:r>
      <w:r w:rsidR="001F1035" w:rsidRPr="001F1035">
        <w:rPr>
          <w:rFonts w:ascii="Arial Narrow" w:hAnsi="Arial Narrow" w:cs="Segoe UI"/>
          <w:b/>
          <w:color w:val="212121"/>
          <w:sz w:val="28"/>
          <w:szCs w:val="28"/>
          <w:shd w:val="clear" w:color="auto" w:fill="FFFFFF"/>
        </w:rPr>
        <w:t>con una dotación inicial próxima de a los 4 millones de euros</w:t>
      </w:r>
      <w:r w:rsidR="001F1035">
        <w:rPr>
          <w:rFonts w:ascii="Arial Narrow" w:hAnsi="Arial Narrow"/>
          <w:b/>
          <w:sz w:val="28"/>
          <w:szCs w:val="28"/>
        </w:rPr>
        <w:t xml:space="preserve"> </w:t>
      </w:r>
      <w:r>
        <w:rPr>
          <w:rFonts w:ascii="Arial Narrow" w:hAnsi="Arial Narrow"/>
          <w:b/>
          <w:sz w:val="28"/>
          <w:szCs w:val="28"/>
        </w:rPr>
        <w:t>y con 46 grupos de investigación en red.</w:t>
      </w:r>
    </w:p>
    <w:p w:rsidR="00F25363" w:rsidRDefault="00F25363" w:rsidP="00F25363">
      <w:pPr>
        <w:rPr>
          <w:rFonts w:ascii="Arial Narrow" w:hAnsi="Arial Narrow"/>
          <w:sz w:val="28"/>
          <w:szCs w:val="28"/>
        </w:rPr>
      </w:pPr>
    </w:p>
    <w:p w:rsidR="00F25363" w:rsidRDefault="00F25363" w:rsidP="00F25363">
      <w:pPr>
        <w:rPr>
          <w:rFonts w:ascii="Arial Narrow" w:hAnsi="Arial Narrow"/>
          <w:sz w:val="28"/>
          <w:szCs w:val="28"/>
        </w:rPr>
      </w:pPr>
    </w:p>
    <w:p w:rsidR="00F25363" w:rsidRDefault="00F25363" w:rsidP="00F25363">
      <w:pPr>
        <w:tabs>
          <w:tab w:val="left" w:pos="1560"/>
        </w:tabs>
        <w:ind w:left="28"/>
        <w:jc w:val="both"/>
        <w:rPr>
          <w:rFonts w:ascii="Arial Narrow" w:hAnsi="Arial Narrow" w:cstheme="minorHAnsi"/>
          <w:sz w:val="28"/>
          <w:szCs w:val="28"/>
        </w:rPr>
      </w:pPr>
      <w:r>
        <w:rPr>
          <w:rFonts w:ascii="Arial Narrow" w:hAnsi="Arial Narrow"/>
          <w:b/>
          <w:bCs/>
          <w:sz w:val="28"/>
          <w:szCs w:val="28"/>
        </w:rPr>
        <w:t>31 de agosto de 2021.</w:t>
      </w:r>
      <w:r>
        <w:rPr>
          <w:rFonts w:ascii="Arial Narrow" w:hAnsi="Arial Narrow"/>
          <w:sz w:val="28"/>
          <w:szCs w:val="28"/>
        </w:rPr>
        <w:t xml:space="preserve"> </w:t>
      </w:r>
      <w:r w:rsidRPr="00F25363">
        <w:rPr>
          <w:rFonts w:ascii="Arial Narrow" w:hAnsi="Arial Narrow" w:cstheme="minorHAnsi"/>
          <w:sz w:val="28"/>
          <w:szCs w:val="28"/>
        </w:rPr>
        <w:t>El Consorcio Centro de Investigación Biomédica en Red (CIBER), que gestiona y financia el Instituto de Salud Carlos III (ISCIII), dispone desde este martes de una nueva área temática, las Enfermedades Infecciosas, que se suma a las once ya existentes y que abordará de forma específica una de los ámbitos más relevantes</w:t>
      </w:r>
      <w:r>
        <w:rPr>
          <w:rFonts w:ascii="Arial Narrow" w:hAnsi="Arial Narrow" w:cstheme="minorHAnsi"/>
          <w:sz w:val="28"/>
          <w:szCs w:val="28"/>
        </w:rPr>
        <w:t xml:space="preserve"> de la investigación biomédica.</w:t>
      </w:r>
    </w:p>
    <w:p w:rsidR="00F25363" w:rsidRDefault="00F25363" w:rsidP="00F25363">
      <w:pPr>
        <w:tabs>
          <w:tab w:val="left" w:pos="1560"/>
        </w:tabs>
        <w:ind w:left="28"/>
        <w:jc w:val="both"/>
        <w:rPr>
          <w:rFonts w:ascii="Arial Narrow" w:hAnsi="Arial Narrow" w:cstheme="minorHAnsi"/>
          <w:sz w:val="28"/>
          <w:szCs w:val="28"/>
        </w:rPr>
      </w:pPr>
    </w:p>
    <w:p w:rsidR="00A616C4" w:rsidRDefault="00F25363" w:rsidP="00F25363">
      <w:pPr>
        <w:tabs>
          <w:tab w:val="left" w:pos="1560"/>
        </w:tabs>
        <w:ind w:left="28"/>
        <w:jc w:val="both"/>
        <w:rPr>
          <w:rFonts w:ascii="Arial Narrow" w:hAnsi="Arial Narrow" w:cstheme="minorHAnsi"/>
          <w:sz w:val="28"/>
          <w:szCs w:val="28"/>
        </w:rPr>
      </w:pPr>
      <w:r w:rsidRPr="00F25363">
        <w:rPr>
          <w:rFonts w:ascii="Arial Narrow" w:hAnsi="Arial Narrow" w:cstheme="minorHAnsi"/>
          <w:sz w:val="28"/>
          <w:szCs w:val="28"/>
        </w:rPr>
        <w:t xml:space="preserve">La </w:t>
      </w:r>
      <w:hyperlink r:id="rId7" w:history="1">
        <w:r w:rsidRPr="002726CA">
          <w:rPr>
            <w:rStyle w:val="Hipervnculo"/>
            <w:rFonts w:ascii="Arial Narrow" w:hAnsi="Arial Narrow" w:cstheme="minorHAnsi"/>
            <w:b/>
            <w:sz w:val="28"/>
            <w:szCs w:val="28"/>
          </w:rPr>
          <w:t>resolución provisional de concesión</w:t>
        </w:r>
      </w:hyperlink>
      <w:r w:rsidRPr="00F25363">
        <w:rPr>
          <w:rFonts w:ascii="Arial Narrow" w:hAnsi="Arial Narrow" w:cstheme="minorHAnsi"/>
          <w:sz w:val="28"/>
          <w:szCs w:val="28"/>
        </w:rPr>
        <w:t xml:space="preserve"> correspondiente a la convocatoria de incorporación de la nueva área de Enfermedades Infecciosas se publica este martes como parte de las ayudas de la Acción Estratégica en Salud (AES) del ISCIII, en el marco del Programa Estatal de Generación</w:t>
      </w:r>
      <w:bookmarkStart w:id="0" w:name="_GoBack"/>
      <w:bookmarkEnd w:id="0"/>
      <w:r w:rsidRPr="00F25363">
        <w:rPr>
          <w:rFonts w:ascii="Arial Narrow" w:hAnsi="Arial Narrow" w:cstheme="minorHAnsi"/>
          <w:sz w:val="28"/>
          <w:szCs w:val="28"/>
        </w:rPr>
        <w:t xml:space="preserve"> de Conocimiento y Fortalecimiento del Sistema Español de I+D+I. </w:t>
      </w:r>
      <w:r w:rsidR="00EF5182" w:rsidRPr="00EF5182">
        <w:rPr>
          <w:rFonts w:ascii="Arial Narrow" w:hAnsi="Arial Narrow" w:cs="Segoe UI"/>
          <w:color w:val="212121"/>
          <w:sz w:val="28"/>
          <w:szCs w:val="28"/>
          <w:shd w:val="clear" w:color="auto" w:fill="FFFFFF"/>
        </w:rPr>
        <w:t>La nueva área de Infecciosas contará con una dotación inicial próxima de a los 4 millones de euros</w:t>
      </w:r>
      <w:r w:rsidR="00EF5182">
        <w:rPr>
          <w:rFonts w:ascii="Arial Narrow" w:hAnsi="Arial Narrow" w:cs="Segoe UI"/>
          <w:color w:val="212121"/>
          <w:sz w:val="28"/>
          <w:szCs w:val="28"/>
          <w:shd w:val="clear" w:color="auto" w:fill="FFFFFF"/>
        </w:rPr>
        <w:t xml:space="preserve"> </w:t>
      </w:r>
      <w:r w:rsidRPr="00EF5182">
        <w:rPr>
          <w:rFonts w:ascii="Arial Narrow" w:hAnsi="Arial Narrow" w:cstheme="minorHAnsi"/>
          <w:sz w:val="28"/>
          <w:szCs w:val="28"/>
        </w:rPr>
        <w:t>y su nacimiento se traduce en la incorporación de 46 nuevos grupos de investigación al CIBER.</w:t>
      </w:r>
      <w:r w:rsidRPr="00A616C4">
        <w:rPr>
          <w:rFonts w:ascii="Arial Narrow" w:hAnsi="Arial Narrow" w:cstheme="minorHAnsi"/>
          <w:sz w:val="28"/>
          <w:szCs w:val="28"/>
        </w:rPr>
        <w:t xml:space="preserve"> </w:t>
      </w:r>
    </w:p>
    <w:p w:rsidR="00A616C4" w:rsidRDefault="00A616C4" w:rsidP="00F25363">
      <w:pPr>
        <w:tabs>
          <w:tab w:val="left" w:pos="1560"/>
        </w:tabs>
        <w:ind w:left="28"/>
        <w:jc w:val="both"/>
        <w:rPr>
          <w:rFonts w:ascii="Arial Narrow" w:hAnsi="Arial Narrow" w:cstheme="minorHAnsi"/>
          <w:sz w:val="28"/>
          <w:szCs w:val="28"/>
        </w:rPr>
      </w:pPr>
    </w:p>
    <w:p w:rsidR="00F25363" w:rsidRDefault="00A616C4" w:rsidP="00F25363">
      <w:pPr>
        <w:tabs>
          <w:tab w:val="left" w:pos="1560"/>
        </w:tabs>
        <w:ind w:left="28"/>
        <w:jc w:val="both"/>
        <w:rPr>
          <w:rFonts w:ascii="Arial Narrow" w:hAnsi="Arial Narrow" w:cstheme="minorHAnsi"/>
          <w:sz w:val="28"/>
          <w:szCs w:val="28"/>
        </w:rPr>
      </w:pPr>
      <w:r w:rsidRPr="00A616C4">
        <w:rPr>
          <w:rFonts w:ascii="Arial Narrow" w:hAnsi="Arial Narrow" w:cstheme="minorHAnsi"/>
          <w:sz w:val="28"/>
          <w:szCs w:val="28"/>
        </w:rPr>
        <w:t xml:space="preserve">Además de esta novedad, hoy también se publica la incorporación al CIBER de otros cinco grupos de investigación en tres de las áreas ya existentes: Cáncer (CIBERONC), Enfermedades Respiratorias (CIBERES), y Bioingeniería, Biomateriales y </w:t>
      </w:r>
      <w:proofErr w:type="spellStart"/>
      <w:r w:rsidRPr="00A616C4">
        <w:rPr>
          <w:rFonts w:ascii="Arial Narrow" w:hAnsi="Arial Narrow" w:cstheme="minorHAnsi"/>
          <w:sz w:val="28"/>
          <w:szCs w:val="28"/>
        </w:rPr>
        <w:t>Nanomedicina</w:t>
      </w:r>
      <w:proofErr w:type="spellEnd"/>
      <w:r w:rsidRPr="00A616C4">
        <w:rPr>
          <w:rFonts w:ascii="Arial Narrow" w:hAnsi="Arial Narrow" w:cstheme="minorHAnsi"/>
          <w:sz w:val="28"/>
          <w:szCs w:val="28"/>
        </w:rPr>
        <w:t xml:space="preserve"> (CIBER-BBN).</w:t>
      </w:r>
    </w:p>
    <w:p w:rsidR="00F25363" w:rsidRDefault="00F25363" w:rsidP="00F25363">
      <w:pPr>
        <w:tabs>
          <w:tab w:val="left" w:pos="1560"/>
        </w:tabs>
        <w:ind w:left="28"/>
        <w:jc w:val="both"/>
        <w:rPr>
          <w:rFonts w:ascii="Arial Narrow" w:hAnsi="Arial Narrow" w:cstheme="minorHAnsi"/>
          <w:sz w:val="28"/>
          <w:szCs w:val="28"/>
        </w:rPr>
      </w:pPr>
    </w:p>
    <w:p w:rsidR="00F25363" w:rsidRDefault="00F25363" w:rsidP="00F25363">
      <w:pPr>
        <w:tabs>
          <w:tab w:val="left" w:pos="1560"/>
        </w:tabs>
        <w:ind w:left="28"/>
        <w:jc w:val="both"/>
        <w:rPr>
          <w:rFonts w:ascii="Arial Narrow" w:hAnsi="Arial Narrow" w:cstheme="minorHAnsi"/>
          <w:sz w:val="28"/>
          <w:szCs w:val="28"/>
        </w:rPr>
      </w:pPr>
      <w:r w:rsidRPr="00F25363">
        <w:rPr>
          <w:rFonts w:ascii="Arial Narrow" w:hAnsi="Arial Narrow" w:cstheme="minorHAnsi"/>
          <w:sz w:val="28"/>
          <w:szCs w:val="28"/>
        </w:rPr>
        <w:t xml:space="preserve">El objeto de esta nueva convocatoria es constituir una nueva área en el Consorcio CIBER que aborde el estudio de las enfermedades infecciosas para fortalecer la </w:t>
      </w:r>
      <w:r w:rsidRPr="00F25363">
        <w:rPr>
          <w:rFonts w:ascii="Arial Narrow" w:hAnsi="Arial Narrow" w:cstheme="minorHAnsi"/>
          <w:sz w:val="28"/>
          <w:szCs w:val="28"/>
        </w:rPr>
        <w:lastRenderedPageBreak/>
        <w:t>integración y coordinación científica de los grupos de investigación, tanto en la investigación de carácter más fundamental como en la d</w:t>
      </w:r>
      <w:r>
        <w:rPr>
          <w:rFonts w:ascii="Arial Narrow" w:hAnsi="Arial Narrow" w:cstheme="minorHAnsi"/>
          <w:sz w:val="28"/>
          <w:szCs w:val="28"/>
        </w:rPr>
        <w:t xml:space="preserve">e corte clínico y </w:t>
      </w:r>
      <w:proofErr w:type="spellStart"/>
      <w:r>
        <w:rPr>
          <w:rFonts w:ascii="Arial Narrow" w:hAnsi="Arial Narrow" w:cstheme="minorHAnsi"/>
          <w:sz w:val="28"/>
          <w:szCs w:val="28"/>
        </w:rPr>
        <w:t>traslacional.</w:t>
      </w:r>
    </w:p>
    <w:p w:rsidR="00F25363" w:rsidRDefault="00F25363" w:rsidP="00F25363">
      <w:pPr>
        <w:tabs>
          <w:tab w:val="left" w:pos="1560"/>
        </w:tabs>
        <w:ind w:left="28"/>
        <w:jc w:val="both"/>
        <w:rPr>
          <w:rFonts w:ascii="Arial Narrow" w:hAnsi="Arial Narrow" w:cstheme="minorHAnsi"/>
          <w:sz w:val="28"/>
          <w:szCs w:val="28"/>
        </w:rPr>
      </w:pPr>
      <w:proofErr w:type="spellEnd"/>
    </w:p>
    <w:p w:rsidR="00F25363" w:rsidRDefault="00F25363" w:rsidP="00F25363">
      <w:pPr>
        <w:tabs>
          <w:tab w:val="left" w:pos="1560"/>
        </w:tabs>
        <w:ind w:left="28"/>
        <w:jc w:val="both"/>
        <w:rPr>
          <w:rFonts w:ascii="Arial Narrow" w:hAnsi="Arial Narrow" w:cstheme="minorHAnsi"/>
          <w:sz w:val="28"/>
          <w:szCs w:val="28"/>
        </w:rPr>
      </w:pPr>
      <w:r w:rsidRPr="00F25363">
        <w:rPr>
          <w:rFonts w:ascii="Arial Narrow" w:hAnsi="Arial Narrow" w:cstheme="minorHAnsi"/>
          <w:sz w:val="28"/>
          <w:szCs w:val="28"/>
        </w:rPr>
        <w:t xml:space="preserve">Se potencia así la capacidad del tejido científico en  red de España, gracias a la incorporación de nuevos grupos de investigación y al impulso específico de las enfermedades infecciosas, que requieren un abordaje global y cooperativo para avanzar en ámbitos tan relevantes como las resistencias antimicrobianas, los determinantes de la salud, el diagnóstico temprano, las enfermedades desatendidas, el desarrollo de nuevas terapias y el abordaje de pandemias como la actual, entre otros. </w:t>
      </w:r>
    </w:p>
    <w:p w:rsidR="001F1035" w:rsidRDefault="001F1035" w:rsidP="00F25363">
      <w:pPr>
        <w:tabs>
          <w:tab w:val="left" w:pos="1560"/>
        </w:tabs>
        <w:ind w:left="28"/>
        <w:jc w:val="both"/>
        <w:rPr>
          <w:rFonts w:ascii="Arial Narrow" w:hAnsi="Arial Narrow" w:cstheme="minorHAnsi"/>
          <w:sz w:val="28"/>
          <w:szCs w:val="28"/>
        </w:rPr>
      </w:pPr>
    </w:p>
    <w:p w:rsidR="001F1035" w:rsidRPr="001F1035" w:rsidRDefault="001F1035" w:rsidP="001F1035">
      <w:pPr>
        <w:jc w:val="both"/>
        <w:rPr>
          <w:rFonts w:ascii="Arial Narrow" w:hAnsi="Arial Narrow"/>
          <w:b/>
          <w:bCs/>
          <w:sz w:val="28"/>
          <w:szCs w:val="28"/>
        </w:rPr>
      </w:pPr>
      <w:r>
        <w:rPr>
          <w:rFonts w:ascii="Arial Narrow" w:hAnsi="Arial Narrow"/>
          <w:b/>
          <w:bCs/>
          <w:sz w:val="28"/>
          <w:szCs w:val="28"/>
        </w:rPr>
        <w:t>CIBER – Centro de Investigación Biomédica en Red</w:t>
      </w:r>
    </w:p>
    <w:p w:rsidR="00F25363" w:rsidRDefault="00F25363" w:rsidP="00F25363">
      <w:pPr>
        <w:tabs>
          <w:tab w:val="left" w:pos="1560"/>
        </w:tabs>
        <w:ind w:left="28"/>
        <w:jc w:val="both"/>
        <w:rPr>
          <w:rFonts w:ascii="Arial Narrow" w:hAnsi="Arial Narrow" w:cstheme="minorHAnsi"/>
          <w:sz w:val="28"/>
          <w:szCs w:val="28"/>
        </w:rPr>
      </w:pPr>
    </w:p>
    <w:p w:rsidR="00F25363" w:rsidRPr="00A616C4" w:rsidRDefault="00A616C4" w:rsidP="00F25363">
      <w:pPr>
        <w:tabs>
          <w:tab w:val="left" w:pos="1560"/>
        </w:tabs>
        <w:ind w:left="28"/>
        <w:jc w:val="both"/>
        <w:rPr>
          <w:rFonts w:ascii="Arial Narrow" w:hAnsi="Arial Narrow" w:cstheme="minorHAnsi"/>
          <w:sz w:val="28"/>
          <w:szCs w:val="28"/>
        </w:rPr>
      </w:pPr>
      <w:r w:rsidRPr="00A616C4">
        <w:rPr>
          <w:rFonts w:ascii="Arial Narrow" w:hAnsi="Arial Narrow" w:cstheme="minorHAnsi"/>
          <w:sz w:val="28"/>
          <w:szCs w:val="28"/>
        </w:rPr>
        <w:t xml:space="preserve">El Consorcio CIBER tiene como objetivo impulsar la investigación de excelencia en Biomedicina y Ciencias de la Salud que se realiza en el Sistema Nacional de Salud y en el Sistema de Ciencia y Tecnología. El área de Enfermedades Infecciosas se suma a once ya existentes: Enfermedades Hepáticas (CIBEREHD); Enfermedades Respiratorias (CIBERES); Bioingeniería, Biomateriales y </w:t>
      </w:r>
      <w:proofErr w:type="spellStart"/>
      <w:r w:rsidRPr="00A616C4">
        <w:rPr>
          <w:rFonts w:ascii="Arial Narrow" w:hAnsi="Arial Narrow" w:cstheme="minorHAnsi"/>
          <w:sz w:val="28"/>
          <w:szCs w:val="28"/>
        </w:rPr>
        <w:t>Nanomedicina</w:t>
      </w:r>
      <w:proofErr w:type="spellEnd"/>
      <w:r w:rsidRPr="00A616C4">
        <w:rPr>
          <w:rFonts w:ascii="Arial Narrow" w:hAnsi="Arial Narrow" w:cstheme="minorHAnsi"/>
          <w:sz w:val="28"/>
          <w:szCs w:val="28"/>
        </w:rPr>
        <w:t xml:space="preserve"> (CIBER-BBN); Enfermedades Raras (CIBERER); Epidemiología y Salud Pública (CIBERESP); Obesidad y Nutrición (CIBEROBN); Salud Mental (CIBERSAM); Diabetes y Enfermedades Metabólicas Asociadas (CIBERDEM); Fragilidad y Envejecimiento Saludable (CIBERFES); Enfermedades Cardiovasculares (CIBERCV), y Cáncer (CIBERONC). En la actualidad el CIBER cuenta con cerca de 6.000 investigadores adscritos, integrados en más de 400 grupos de investigación que trabajan en red por toda España y que están vinculados a más de 100 instituciones consorciadas del sector público y privado</w:t>
      </w:r>
      <w:r w:rsidR="00F25363" w:rsidRPr="00A616C4">
        <w:rPr>
          <w:rFonts w:ascii="Arial Narrow" w:hAnsi="Arial Narrow"/>
          <w:sz w:val="28"/>
          <w:szCs w:val="28"/>
        </w:rPr>
        <w:t>.</w:t>
      </w:r>
    </w:p>
    <w:p w:rsidR="009C27B3" w:rsidRDefault="009C27B3"/>
    <w:sectPr w:rsidR="009C27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D5B6C"/>
    <w:multiLevelType w:val="hybridMultilevel"/>
    <w:tmpl w:val="E1A629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63"/>
    <w:rsid w:val="001F1035"/>
    <w:rsid w:val="002726CA"/>
    <w:rsid w:val="009C27B3"/>
    <w:rsid w:val="009D1DE1"/>
    <w:rsid w:val="00A616C4"/>
    <w:rsid w:val="00EF5182"/>
    <w:rsid w:val="00F253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EBB47-9072-4DE0-AD79-00C65488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035"/>
    <w:pPr>
      <w:spacing w:after="0" w:line="240" w:lineRule="auto"/>
    </w:pPr>
    <w:rPr>
      <w:rFonts w:ascii="Arial" w:eastAsia="Times New Roman" w:hAnsi="Arial" w:cs="Arial"/>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25363"/>
    <w:pPr>
      <w:tabs>
        <w:tab w:val="center" w:pos="4252"/>
        <w:tab w:val="right" w:pos="8504"/>
      </w:tabs>
    </w:pPr>
    <w:rPr>
      <w:szCs w:val="24"/>
    </w:rPr>
  </w:style>
  <w:style w:type="character" w:customStyle="1" w:styleId="EncabezadoCar">
    <w:name w:val="Encabezado Car"/>
    <w:basedOn w:val="Fuentedeprrafopredeter"/>
    <w:link w:val="Encabezado"/>
    <w:uiPriority w:val="99"/>
    <w:semiHidden/>
    <w:rsid w:val="00F25363"/>
    <w:rPr>
      <w:rFonts w:ascii="Arial" w:eastAsia="Times New Roman" w:hAnsi="Arial" w:cs="Arial"/>
      <w:sz w:val="24"/>
      <w:szCs w:val="24"/>
      <w:lang w:eastAsia="es-ES"/>
    </w:rPr>
  </w:style>
  <w:style w:type="paragraph" w:styleId="Prrafodelista">
    <w:name w:val="List Paragraph"/>
    <w:basedOn w:val="Normal"/>
    <w:uiPriority w:val="34"/>
    <w:qFormat/>
    <w:rsid w:val="00F25363"/>
    <w:pPr>
      <w:ind w:left="720"/>
    </w:pPr>
    <w:rPr>
      <w:szCs w:val="24"/>
    </w:rPr>
  </w:style>
  <w:style w:type="character" w:styleId="Hipervnculo">
    <w:name w:val="Hyperlink"/>
    <w:basedOn w:val="Fuentedeprrafopredeter"/>
    <w:uiPriority w:val="99"/>
    <w:unhideWhenUsed/>
    <w:rsid w:val="002726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de.isciii.gob.es/anouncements_detail.jsp?pub=41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547</Words>
  <Characters>3011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Plaza Ramos</dc:creator>
  <cp:keywords/>
  <dc:description/>
  <cp:lastModifiedBy>José Antonio Plaza Ramos</cp:lastModifiedBy>
  <cp:revision>5</cp:revision>
  <dcterms:created xsi:type="dcterms:W3CDTF">2021-08-31T06:16:00Z</dcterms:created>
  <dcterms:modified xsi:type="dcterms:W3CDTF">2021-08-31T15:41:00Z</dcterms:modified>
</cp:coreProperties>
</file>