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9FB1" w14:textId="018A57C8" w:rsidR="00367BF4" w:rsidRPr="00B92DFE" w:rsidRDefault="00367BF4" w:rsidP="00B92DFE">
      <w:pPr>
        <w:pStyle w:val="NormalWeb"/>
        <w:shd w:val="clear" w:color="auto" w:fill="FFFFFF"/>
        <w:jc w:val="center"/>
        <w:textAlignment w:val="baseline"/>
        <w:rPr>
          <w:rFonts w:ascii="Cambria" w:hAnsi="Cambria"/>
          <w:b/>
          <w:bCs/>
          <w:kern w:val="2"/>
          <w:sz w:val="28"/>
          <w:szCs w:val="28"/>
          <w:u w:val="single"/>
          <w:lang w:eastAsia="en-US"/>
        </w:rPr>
      </w:pPr>
      <w:r w:rsidRPr="00B92DFE">
        <w:rPr>
          <w:rFonts w:ascii="Cambria" w:hAnsi="Cambria"/>
          <w:b/>
          <w:bCs/>
          <w:kern w:val="2"/>
          <w:sz w:val="28"/>
          <w:szCs w:val="28"/>
          <w:u w:val="single"/>
          <w:lang w:eastAsia="en-US"/>
        </w:rPr>
        <w:t>28 de julio: Día Mundial contra la Hepatitis Vírica</w:t>
      </w:r>
    </w:p>
    <w:p w14:paraId="057B4503" w14:textId="77777777" w:rsidR="00367BF4" w:rsidRPr="00467F2C" w:rsidRDefault="00367BF4" w:rsidP="00467F2C">
      <w:pPr>
        <w:pStyle w:val="NormalWeb"/>
        <w:shd w:val="clear" w:color="auto" w:fill="FFFFFF"/>
        <w:jc w:val="center"/>
        <w:textAlignment w:val="baseline"/>
        <w:rPr>
          <w:rFonts w:ascii="Cambria" w:hAnsi="Cambria"/>
          <w:b/>
          <w:bCs/>
          <w:kern w:val="2"/>
          <w:sz w:val="36"/>
          <w:szCs w:val="36"/>
          <w:lang w:eastAsia="en-US"/>
        </w:rPr>
      </w:pPr>
      <w:r w:rsidRPr="00467F2C">
        <w:rPr>
          <w:rFonts w:ascii="Cambria" w:hAnsi="Cambria"/>
          <w:b/>
          <w:bCs/>
          <w:kern w:val="2"/>
          <w:sz w:val="36"/>
          <w:szCs w:val="36"/>
          <w:lang w:eastAsia="en-US"/>
        </w:rPr>
        <w:t>La generalización de los antivirales orales hará que los ingresos por complicaciones asociadas a la hepatitis C sean anecdóticos en pocos años</w:t>
      </w:r>
    </w:p>
    <w:p w14:paraId="513948D1" w14:textId="2CC0608F" w:rsidR="00467F2C" w:rsidRDefault="00367BF4" w:rsidP="00467F2C">
      <w:pPr>
        <w:pStyle w:val="NormalWeb"/>
        <w:numPr>
          <w:ilvl w:val="0"/>
          <w:numId w:val="3"/>
        </w:numPr>
        <w:shd w:val="clear" w:color="auto" w:fill="FFFFFF"/>
        <w:spacing w:before="0" w:beforeAutospacing="0" w:after="0" w:afterAutospacing="0"/>
        <w:ind w:left="714" w:hanging="357"/>
        <w:jc w:val="both"/>
        <w:textAlignment w:val="baseline"/>
        <w:rPr>
          <w:rFonts w:ascii="Cambria" w:hAnsi="Cambria"/>
          <w:b/>
          <w:bCs/>
          <w:kern w:val="2"/>
          <w:lang w:eastAsia="en-US"/>
        </w:rPr>
      </w:pPr>
      <w:r w:rsidRPr="00467F2C">
        <w:rPr>
          <w:rFonts w:ascii="Cambria" w:hAnsi="Cambria"/>
          <w:b/>
          <w:bCs/>
          <w:kern w:val="2"/>
          <w:lang w:eastAsia="en-US"/>
        </w:rPr>
        <w:t>Los antivirales de acción directa, de alta potencia y excelente perfil de seguridad, están cambiando la historia natural de la enfermedad</w:t>
      </w:r>
    </w:p>
    <w:p w14:paraId="6B452889" w14:textId="77777777" w:rsidR="00467F2C" w:rsidRPr="00467F2C" w:rsidRDefault="00467F2C" w:rsidP="00467F2C">
      <w:pPr>
        <w:pStyle w:val="NormalWeb"/>
        <w:shd w:val="clear" w:color="auto" w:fill="FFFFFF"/>
        <w:spacing w:before="0" w:beforeAutospacing="0" w:after="0" w:afterAutospacing="0"/>
        <w:ind w:left="714"/>
        <w:jc w:val="both"/>
        <w:textAlignment w:val="baseline"/>
        <w:rPr>
          <w:rFonts w:ascii="Cambria" w:hAnsi="Cambria"/>
          <w:b/>
          <w:bCs/>
          <w:kern w:val="2"/>
          <w:lang w:eastAsia="en-US"/>
        </w:rPr>
      </w:pPr>
    </w:p>
    <w:p w14:paraId="3ED435B4" w14:textId="573100C3" w:rsidR="00467F2C" w:rsidRDefault="00367BF4" w:rsidP="00467F2C">
      <w:pPr>
        <w:pStyle w:val="NormalWeb"/>
        <w:numPr>
          <w:ilvl w:val="0"/>
          <w:numId w:val="3"/>
        </w:numPr>
        <w:shd w:val="clear" w:color="auto" w:fill="FFFFFF"/>
        <w:spacing w:before="0" w:beforeAutospacing="0" w:after="0" w:afterAutospacing="0"/>
        <w:ind w:left="714" w:hanging="357"/>
        <w:jc w:val="both"/>
        <w:textAlignment w:val="baseline"/>
        <w:rPr>
          <w:rFonts w:ascii="Cambria" w:hAnsi="Cambria"/>
          <w:b/>
          <w:bCs/>
          <w:kern w:val="2"/>
          <w:lang w:eastAsia="en-US"/>
        </w:rPr>
      </w:pPr>
      <w:r w:rsidRPr="00467F2C">
        <w:rPr>
          <w:rFonts w:ascii="Cambria" w:hAnsi="Cambria"/>
          <w:b/>
          <w:bCs/>
          <w:kern w:val="2"/>
          <w:lang w:eastAsia="en-US"/>
        </w:rPr>
        <w:t xml:space="preserve">El alcohol ha pasado a ser la primera causa de ingreso a las unidades de hepatología, en sustitución de la hepatitis C </w:t>
      </w:r>
    </w:p>
    <w:p w14:paraId="0DF70F63" w14:textId="77777777" w:rsidR="00467F2C" w:rsidRPr="00467F2C" w:rsidRDefault="00467F2C" w:rsidP="00467F2C">
      <w:pPr>
        <w:pStyle w:val="NormalWeb"/>
        <w:shd w:val="clear" w:color="auto" w:fill="FFFFFF"/>
        <w:spacing w:before="0" w:beforeAutospacing="0" w:after="0" w:afterAutospacing="0"/>
        <w:jc w:val="both"/>
        <w:textAlignment w:val="baseline"/>
        <w:rPr>
          <w:rFonts w:ascii="Cambria" w:hAnsi="Cambria"/>
          <w:b/>
          <w:bCs/>
          <w:kern w:val="2"/>
          <w:lang w:eastAsia="en-US"/>
        </w:rPr>
      </w:pPr>
    </w:p>
    <w:p w14:paraId="3FD0E66A" w14:textId="332A9011" w:rsidR="00367BF4" w:rsidRPr="00467F2C" w:rsidRDefault="00367BF4" w:rsidP="00467F2C">
      <w:pPr>
        <w:pStyle w:val="NormalWeb"/>
        <w:numPr>
          <w:ilvl w:val="0"/>
          <w:numId w:val="3"/>
        </w:numPr>
        <w:shd w:val="clear" w:color="auto" w:fill="FFFFFF"/>
        <w:spacing w:before="0" w:beforeAutospacing="0" w:after="0" w:afterAutospacing="0"/>
        <w:ind w:left="714" w:hanging="357"/>
        <w:jc w:val="both"/>
        <w:textAlignment w:val="baseline"/>
        <w:rPr>
          <w:rFonts w:ascii="Cambria" w:hAnsi="Cambria"/>
          <w:b/>
          <w:bCs/>
          <w:kern w:val="2"/>
          <w:lang w:eastAsia="en-US"/>
        </w:rPr>
      </w:pPr>
      <w:r w:rsidRPr="00467F2C">
        <w:rPr>
          <w:rFonts w:ascii="Cambria" w:hAnsi="Cambria"/>
          <w:b/>
          <w:bCs/>
          <w:kern w:val="2"/>
          <w:lang w:eastAsia="en-US"/>
        </w:rPr>
        <w:t xml:space="preserve">El objetivo de los expertos es extender el tratamiento a todos los pacientes que tengan hepatitis C para llegar a erradicar la enfermedad </w:t>
      </w:r>
    </w:p>
    <w:p w14:paraId="02E5A157" w14:textId="77777777" w:rsidR="00467F2C" w:rsidRPr="00467F2C" w:rsidRDefault="00467F2C" w:rsidP="00467F2C">
      <w:pPr>
        <w:pStyle w:val="NormalWeb"/>
        <w:shd w:val="clear" w:color="auto" w:fill="FFFFFF"/>
        <w:spacing w:before="0" w:beforeAutospacing="0" w:after="0" w:afterAutospacing="0" w:line="360" w:lineRule="auto"/>
        <w:ind w:left="714"/>
        <w:jc w:val="both"/>
        <w:textAlignment w:val="baseline"/>
        <w:rPr>
          <w:rFonts w:ascii="Cambria" w:hAnsi="Cambria"/>
          <w:kern w:val="2"/>
          <w:lang w:eastAsia="en-US"/>
        </w:rPr>
      </w:pPr>
    </w:p>
    <w:p w14:paraId="4C243F7B" w14:textId="128017AF" w:rsidR="00367BF4" w:rsidRPr="00467F2C" w:rsidRDefault="00467F2C" w:rsidP="00D97073">
      <w:pPr>
        <w:pStyle w:val="NormalWeb"/>
        <w:shd w:val="clear" w:color="auto" w:fill="FFFFFF"/>
        <w:textAlignment w:val="baseline"/>
        <w:rPr>
          <w:rFonts w:ascii="Cambria" w:hAnsi="Cambria"/>
          <w:kern w:val="2"/>
          <w:lang w:eastAsia="en-US"/>
        </w:rPr>
      </w:pPr>
      <w:r w:rsidRPr="00467F2C">
        <w:rPr>
          <w:rFonts w:ascii="Cambria" w:hAnsi="Cambria"/>
          <w:b/>
          <w:bCs/>
          <w:kern w:val="2"/>
          <w:lang w:eastAsia="en-US"/>
        </w:rPr>
        <w:t>Barcelona/Madrid</w:t>
      </w:r>
      <w:r w:rsidR="006622C8">
        <w:rPr>
          <w:rFonts w:ascii="Cambria" w:hAnsi="Cambria"/>
          <w:b/>
          <w:bCs/>
          <w:kern w:val="2"/>
          <w:lang w:eastAsia="en-US"/>
        </w:rPr>
        <w:t>,</w:t>
      </w:r>
      <w:r w:rsidRPr="00467F2C">
        <w:rPr>
          <w:rFonts w:ascii="Cambria" w:hAnsi="Cambria"/>
          <w:b/>
          <w:bCs/>
          <w:kern w:val="2"/>
          <w:lang w:eastAsia="en-US"/>
        </w:rPr>
        <w:t xml:space="preserve"> 26 de julio de 2021.</w:t>
      </w:r>
      <w:r w:rsidRPr="00467F2C">
        <w:rPr>
          <w:rFonts w:ascii="Cambria" w:hAnsi="Cambria"/>
          <w:kern w:val="2"/>
          <w:lang w:eastAsia="en-US"/>
        </w:rPr>
        <w:t xml:space="preserve"> </w:t>
      </w:r>
      <w:r w:rsidR="00367BF4" w:rsidRPr="00467F2C">
        <w:rPr>
          <w:rFonts w:ascii="Cambria" w:hAnsi="Cambria"/>
          <w:kern w:val="2"/>
          <w:lang w:eastAsia="en-US"/>
        </w:rPr>
        <w:t>El 28 de julio se conmemora el Día Mundial de las Hepatitis Víricas. Se calcula que unos 70 millones de personas de todo el mundo están infectadas por el virus de la hepatitis C (VHC). En España, antes de la generalización de los tratamientos, un 1% de la población, unas 475.000 personas, tenían el virus. Ahora se calcula que es el 0'3%, unas 140.000 personas.</w:t>
      </w:r>
    </w:p>
    <w:p w14:paraId="25A43CC2"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No en vano, el VHC era la causa más frecuente de enfermedad hepática crónica y de indicación de trasplante de hígado en nuestro país.</w:t>
      </w:r>
    </w:p>
    <w:p w14:paraId="28BBA79C"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Esta situación, sin embargo, está cambiando gracias a la generalización de los tratamientos antivirales orales (antivirales de acción directa o AAD), de alta potencia y excelente perfil de seguridad. Estos fármacos tienen una eficacia del 99%, muy pocos efectos adversos y son fáciles de tomar.</w:t>
      </w:r>
    </w:p>
    <w:p w14:paraId="4219C9F0" w14:textId="0F54F536"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 xml:space="preserve">Un estudio elaborado por investigadores del Hospital </w:t>
      </w:r>
      <w:proofErr w:type="spellStart"/>
      <w:r w:rsidRPr="00467F2C">
        <w:rPr>
          <w:rFonts w:ascii="Cambria" w:hAnsi="Cambria"/>
          <w:kern w:val="2"/>
          <w:lang w:eastAsia="en-US"/>
        </w:rPr>
        <w:t>Clínic</w:t>
      </w:r>
      <w:proofErr w:type="spellEnd"/>
      <w:r w:rsidRPr="00467F2C">
        <w:rPr>
          <w:rFonts w:ascii="Cambria" w:hAnsi="Cambria"/>
          <w:kern w:val="2"/>
          <w:lang w:eastAsia="en-US"/>
        </w:rPr>
        <w:t xml:space="preserve"> -IDIBAPS y del CIBER</w:t>
      </w:r>
      <w:r w:rsidR="00A97AA9">
        <w:rPr>
          <w:rFonts w:ascii="Cambria" w:hAnsi="Cambria"/>
          <w:kern w:val="2"/>
          <w:lang w:eastAsia="en-US"/>
        </w:rPr>
        <w:t xml:space="preserve"> de Enfermedades Hepáticas y Digestivas (CIBER</w:t>
      </w:r>
      <w:r w:rsidRPr="00467F2C">
        <w:rPr>
          <w:rFonts w:ascii="Cambria" w:hAnsi="Cambria"/>
          <w:kern w:val="2"/>
          <w:lang w:eastAsia="en-US"/>
        </w:rPr>
        <w:t>EHD</w:t>
      </w:r>
      <w:r w:rsidR="00A97AA9">
        <w:rPr>
          <w:rFonts w:ascii="Cambria" w:hAnsi="Cambria"/>
          <w:kern w:val="2"/>
          <w:lang w:eastAsia="en-US"/>
        </w:rPr>
        <w:t>)</w:t>
      </w:r>
      <w:r w:rsidRPr="00467F2C">
        <w:rPr>
          <w:rFonts w:ascii="Cambria" w:hAnsi="Cambria"/>
          <w:kern w:val="2"/>
          <w:lang w:eastAsia="en-US"/>
        </w:rPr>
        <w:t xml:space="preserve"> que ha publicado </w:t>
      </w:r>
      <w:proofErr w:type="spellStart"/>
      <w:r w:rsidRPr="0053166A">
        <w:rPr>
          <w:rFonts w:ascii="Cambria" w:hAnsi="Cambria"/>
          <w:i/>
          <w:iCs/>
          <w:kern w:val="2"/>
          <w:lang w:eastAsia="en-US"/>
        </w:rPr>
        <w:t>Journal</w:t>
      </w:r>
      <w:proofErr w:type="spellEnd"/>
      <w:r w:rsidRPr="0053166A">
        <w:rPr>
          <w:rFonts w:ascii="Cambria" w:hAnsi="Cambria"/>
          <w:i/>
          <w:iCs/>
          <w:kern w:val="2"/>
          <w:lang w:eastAsia="en-US"/>
        </w:rPr>
        <w:t xml:space="preserve"> </w:t>
      </w:r>
      <w:proofErr w:type="spellStart"/>
      <w:r w:rsidRPr="0053166A">
        <w:rPr>
          <w:rFonts w:ascii="Cambria" w:hAnsi="Cambria"/>
          <w:i/>
          <w:iCs/>
          <w:kern w:val="2"/>
          <w:lang w:eastAsia="en-US"/>
        </w:rPr>
        <w:t>of</w:t>
      </w:r>
      <w:proofErr w:type="spellEnd"/>
      <w:r w:rsidRPr="0053166A">
        <w:rPr>
          <w:rFonts w:ascii="Cambria" w:hAnsi="Cambria"/>
          <w:i/>
          <w:iCs/>
          <w:kern w:val="2"/>
          <w:lang w:eastAsia="en-US"/>
        </w:rPr>
        <w:t xml:space="preserve"> </w:t>
      </w:r>
      <w:proofErr w:type="spellStart"/>
      <w:r w:rsidRPr="0053166A">
        <w:rPr>
          <w:rFonts w:ascii="Cambria" w:hAnsi="Cambria"/>
          <w:i/>
          <w:iCs/>
          <w:kern w:val="2"/>
          <w:lang w:eastAsia="en-US"/>
        </w:rPr>
        <w:t>Hepatology</w:t>
      </w:r>
      <w:proofErr w:type="spellEnd"/>
      <w:r w:rsidRPr="00467F2C">
        <w:rPr>
          <w:rFonts w:ascii="Cambria" w:hAnsi="Cambria"/>
          <w:kern w:val="2"/>
          <w:lang w:eastAsia="en-US"/>
        </w:rPr>
        <w:t xml:space="preserve"> demuestra que la administración de estos tratamientos cambia la historia natural de la enfermedad y hará que los pacientes ingresados ​​por complicaciones derivadas de la infección por VHC sean anecdóticos en los próximos años. </w:t>
      </w:r>
    </w:p>
    <w:p w14:paraId="7264D3DA"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 xml:space="preserve">El primer autor del estudio es Sergio Rodríguez-Tajes, hepatólogo del </w:t>
      </w:r>
      <w:proofErr w:type="spellStart"/>
      <w:r w:rsidRPr="00467F2C">
        <w:rPr>
          <w:rFonts w:ascii="Cambria" w:hAnsi="Cambria"/>
          <w:kern w:val="2"/>
          <w:lang w:eastAsia="en-US"/>
        </w:rPr>
        <w:t>Clínic</w:t>
      </w:r>
      <w:proofErr w:type="spellEnd"/>
      <w:r w:rsidRPr="00467F2C">
        <w:rPr>
          <w:rFonts w:ascii="Cambria" w:hAnsi="Cambria"/>
          <w:kern w:val="2"/>
          <w:lang w:eastAsia="en-US"/>
        </w:rPr>
        <w:t xml:space="preserve"> e investigador del grupo </w:t>
      </w:r>
      <w:hyperlink r:id="rId8" w:history="1">
        <w:r w:rsidRPr="00467F2C">
          <w:rPr>
            <w:rFonts w:ascii="Cambria" w:hAnsi="Cambria"/>
            <w:kern w:val="2"/>
            <w:lang w:eastAsia="en-US"/>
          </w:rPr>
          <w:t>Hepatopatías víricas, tóxicas y metabólicas</w:t>
        </w:r>
      </w:hyperlink>
      <w:r w:rsidRPr="00467F2C">
        <w:rPr>
          <w:rFonts w:ascii="Cambria" w:hAnsi="Cambria"/>
          <w:kern w:val="2"/>
          <w:lang w:eastAsia="en-US"/>
        </w:rPr>
        <w:t xml:space="preserve"> del IDIBAPS y del CIBEREHD, que dirige Xavier </w:t>
      </w:r>
      <w:proofErr w:type="spellStart"/>
      <w:r w:rsidRPr="00467F2C">
        <w:rPr>
          <w:rFonts w:ascii="Cambria" w:hAnsi="Cambria"/>
          <w:kern w:val="2"/>
          <w:lang w:eastAsia="en-US"/>
        </w:rPr>
        <w:t>Forns</w:t>
      </w:r>
      <w:proofErr w:type="spellEnd"/>
      <w:r w:rsidRPr="00467F2C">
        <w:rPr>
          <w:rFonts w:ascii="Cambria" w:hAnsi="Cambria"/>
          <w:kern w:val="2"/>
          <w:lang w:eastAsia="en-US"/>
        </w:rPr>
        <w:t xml:space="preserve">, que es también el jefe de la Unidad de Hepatitis víricas del </w:t>
      </w:r>
      <w:proofErr w:type="spellStart"/>
      <w:r w:rsidRPr="00467F2C">
        <w:rPr>
          <w:rFonts w:ascii="Cambria" w:hAnsi="Cambria"/>
          <w:kern w:val="2"/>
          <w:lang w:eastAsia="en-US"/>
        </w:rPr>
        <w:t>Clínic</w:t>
      </w:r>
      <w:proofErr w:type="spellEnd"/>
      <w:r w:rsidRPr="00467F2C">
        <w:rPr>
          <w:rFonts w:ascii="Cambria" w:hAnsi="Cambria"/>
          <w:kern w:val="2"/>
          <w:lang w:eastAsia="en-US"/>
        </w:rPr>
        <w:t xml:space="preserve"> y coordinador del trabajo.</w:t>
      </w:r>
    </w:p>
    <w:p w14:paraId="21203FF8"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lastRenderedPageBreak/>
        <w:t>Los autores se plantearon analizar si se ha producido un cambio en el perfil de pacientes hospitalizados en las unidades de hepatología tras la introducción de los AAD para el tratamiento de la hepatitis C.</w:t>
      </w:r>
    </w:p>
    <w:p w14:paraId="6D42C49D"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 xml:space="preserve">Para ello, revisaron todos los ingresos por cirrosis y sus complicaciones en la unidad de hepatología del Hospital </w:t>
      </w:r>
      <w:proofErr w:type="spellStart"/>
      <w:r w:rsidRPr="00467F2C">
        <w:rPr>
          <w:rFonts w:ascii="Cambria" w:hAnsi="Cambria"/>
          <w:kern w:val="2"/>
          <w:lang w:eastAsia="en-US"/>
        </w:rPr>
        <w:t>Clínic</w:t>
      </w:r>
      <w:proofErr w:type="spellEnd"/>
      <w:r w:rsidRPr="00467F2C">
        <w:rPr>
          <w:rFonts w:ascii="Cambria" w:hAnsi="Cambria"/>
          <w:kern w:val="2"/>
          <w:lang w:eastAsia="en-US"/>
        </w:rPr>
        <w:t xml:space="preserve"> de Barcelona desde el año 2011 hasta el año 2019. En total se evaluaron 10.053 ingresos, que representar un total de 6.272 pacientes con cirrosis. Se constató que el número de ingresos por complicaciones de la cirrosis por hepatitis C se redujo más del 50% a partir 2015, coincidiendo con la introducción de los AAD.</w:t>
      </w:r>
    </w:p>
    <w:p w14:paraId="357DABBA"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 xml:space="preserve">Esta reducción también ha impactado en el número de ingresos en UCI asociados a cirrosis por hepatitis C, que se redujo a menos de la mitad. </w:t>
      </w:r>
      <w:r w:rsidRPr="0053166A">
        <w:rPr>
          <w:rFonts w:ascii="Cambria" w:hAnsi="Cambria"/>
          <w:i/>
          <w:iCs/>
          <w:kern w:val="2"/>
          <w:lang w:eastAsia="en-US"/>
        </w:rPr>
        <w:t>"Aplicando un modelo de regresión se prevé que el número de pacientes ingresados ​​por cirrosis asociada a la hepatitis C 2025 serán mínimos"</w:t>
      </w:r>
      <w:r w:rsidRPr="00467F2C">
        <w:rPr>
          <w:rFonts w:ascii="Cambria" w:hAnsi="Cambria"/>
          <w:kern w:val="2"/>
          <w:lang w:eastAsia="en-US"/>
        </w:rPr>
        <w:t>, señala Sergio Rodríguez-Tajes.</w:t>
      </w:r>
    </w:p>
    <w:p w14:paraId="3131DF9B"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En España, desde la implementación en 2015 del Plan Estratégico para el Abordaje de la Hepatitis C se han tratado más de 130.000 pacientes (datos hasta 2019). De 2015 en 2016, el tratamiento se restringió a pacientes con cirrosis, compensada o descompensada, o con fibrosis avanzada, permitiendo el tratamiento de gran parte de los pacientes con cirrosis. Posteriormente, en 2017, se aprobó el tratamiento universal.</w:t>
      </w:r>
    </w:p>
    <w:p w14:paraId="615BF966" w14:textId="025259DC" w:rsidR="00367BF4" w:rsidRPr="00467F2C" w:rsidRDefault="00367BF4" w:rsidP="00D97073">
      <w:pPr>
        <w:pStyle w:val="NormalWeb"/>
        <w:shd w:val="clear" w:color="auto" w:fill="FFFFFF"/>
        <w:textAlignment w:val="baseline"/>
        <w:rPr>
          <w:rFonts w:ascii="Cambria" w:hAnsi="Cambria"/>
          <w:kern w:val="2"/>
          <w:lang w:eastAsia="en-US"/>
        </w:rPr>
      </w:pPr>
      <w:r w:rsidRPr="00C800FB">
        <w:rPr>
          <w:rFonts w:ascii="Cambria" w:hAnsi="Cambria"/>
          <w:i/>
          <w:iCs/>
          <w:kern w:val="2"/>
          <w:lang w:eastAsia="en-US"/>
        </w:rPr>
        <w:t>"El impacto que han tenido estos fármacos, que además son seguros y tienen pocos efectos secundarios, es impresionante"</w:t>
      </w:r>
      <w:r w:rsidRPr="00467F2C">
        <w:rPr>
          <w:rFonts w:ascii="Cambria" w:hAnsi="Cambria"/>
          <w:kern w:val="2"/>
          <w:lang w:eastAsia="en-US"/>
        </w:rPr>
        <w:t xml:space="preserve"> asegura Xavier </w:t>
      </w:r>
      <w:proofErr w:type="spellStart"/>
      <w:r w:rsidRPr="00467F2C">
        <w:rPr>
          <w:rFonts w:ascii="Cambria" w:hAnsi="Cambria"/>
          <w:kern w:val="2"/>
          <w:lang w:eastAsia="en-US"/>
        </w:rPr>
        <w:t>Forns</w:t>
      </w:r>
      <w:proofErr w:type="spellEnd"/>
      <w:r w:rsidRPr="00467F2C">
        <w:rPr>
          <w:rFonts w:ascii="Cambria" w:hAnsi="Cambria"/>
          <w:kern w:val="2"/>
          <w:lang w:eastAsia="en-US"/>
        </w:rPr>
        <w:t>.</w:t>
      </w:r>
      <w:r w:rsidRPr="00467F2C">
        <w:rPr>
          <w:rFonts w:ascii="Cambria" w:hAnsi="Cambria"/>
          <w:kern w:val="2"/>
          <w:lang w:eastAsia="en-US"/>
        </w:rPr>
        <w:br/>
      </w:r>
      <w:r w:rsidRPr="00467F2C">
        <w:rPr>
          <w:rFonts w:ascii="Cambria" w:hAnsi="Cambria"/>
          <w:kern w:val="2"/>
          <w:lang w:eastAsia="en-US"/>
        </w:rPr>
        <w:br/>
        <w:t xml:space="preserve">Los fármacos impiden que el virus se multiplique </w:t>
      </w:r>
      <w:r w:rsidR="0053166A" w:rsidRPr="00467F2C">
        <w:rPr>
          <w:rFonts w:ascii="Cambria" w:hAnsi="Cambria"/>
          <w:kern w:val="2"/>
          <w:lang w:eastAsia="en-US"/>
        </w:rPr>
        <w:t>e</w:t>
      </w:r>
      <w:r w:rsidRPr="00467F2C">
        <w:rPr>
          <w:rFonts w:ascii="Cambria" w:hAnsi="Cambria"/>
          <w:kern w:val="2"/>
          <w:lang w:eastAsia="en-US"/>
        </w:rPr>
        <w:t xml:space="preserve"> infecte nuevas células. Los principios activos actúan de manera conjunta y bloquean las diferentes proteínas que el virus necesita para crecer y reproducirse, lo que permite eliminar la infección de forma permanente del organismo.</w:t>
      </w:r>
    </w:p>
    <w:p w14:paraId="207BB1D2"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 xml:space="preserve">Son medicamentos que se toman por vía oral (pastillas) una vez al día, con muy pocos efectos adversos y de duración corta (8-12 semanas). Hay varias combinaciones y las dos más usadas son: </w:t>
      </w:r>
      <w:proofErr w:type="spellStart"/>
      <w:r w:rsidRPr="00467F2C">
        <w:rPr>
          <w:rFonts w:ascii="Cambria" w:hAnsi="Cambria"/>
          <w:kern w:val="2"/>
          <w:lang w:eastAsia="en-US"/>
        </w:rPr>
        <w:t>glecaprevir</w:t>
      </w:r>
      <w:proofErr w:type="spellEnd"/>
      <w:r w:rsidRPr="00467F2C">
        <w:rPr>
          <w:rFonts w:ascii="Cambria" w:hAnsi="Cambria"/>
          <w:kern w:val="2"/>
          <w:lang w:eastAsia="en-US"/>
        </w:rPr>
        <w:t xml:space="preserve"> - </w:t>
      </w:r>
      <w:proofErr w:type="spellStart"/>
      <w:r w:rsidRPr="00467F2C">
        <w:rPr>
          <w:rFonts w:ascii="Cambria" w:hAnsi="Cambria"/>
          <w:kern w:val="2"/>
          <w:lang w:eastAsia="en-US"/>
        </w:rPr>
        <w:t>pibrentasvir</w:t>
      </w:r>
      <w:proofErr w:type="spellEnd"/>
      <w:r w:rsidRPr="00467F2C">
        <w:rPr>
          <w:rFonts w:ascii="Cambria" w:hAnsi="Cambria"/>
          <w:kern w:val="2"/>
          <w:lang w:eastAsia="en-US"/>
        </w:rPr>
        <w:t xml:space="preserve"> y </w:t>
      </w:r>
      <w:proofErr w:type="spellStart"/>
      <w:r w:rsidRPr="00467F2C">
        <w:rPr>
          <w:rFonts w:ascii="Cambria" w:hAnsi="Cambria"/>
          <w:kern w:val="2"/>
          <w:lang w:eastAsia="en-US"/>
        </w:rPr>
        <w:t>sofosbuvir</w:t>
      </w:r>
      <w:proofErr w:type="spellEnd"/>
      <w:r w:rsidRPr="00467F2C">
        <w:rPr>
          <w:rFonts w:ascii="Cambria" w:hAnsi="Cambria"/>
          <w:kern w:val="2"/>
          <w:lang w:eastAsia="en-US"/>
        </w:rPr>
        <w:t xml:space="preserve"> - </w:t>
      </w:r>
      <w:proofErr w:type="spellStart"/>
      <w:r w:rsidRPr="00467F2C">
        <w:rPr>
          <w:rFonts w:ascii="Cambria" w:hAnsi="Cambria"/>
          <w:kern w:val="2"/>
          <w:lang w:eastAsia="en-US"/>
        </w:rPr>
        <w:t>velpatasvir</w:t>
      </w:r>
      <w:proofErr w:type="spellEnd"/>
      <w:r w:rsidRPr="00467F2C">
        <w:rPr>
          <w:rFonts w:ascii="Cambria" w:hAnsi="Cambria"/>
          <w:kern w:val="2"/>
          <w:lang w:eastAsia="en-US"/>
        </w:rPr>
        <w:t>.</w:t>
      </w:r>
    </w:p>
    <w:p w14:paraId="4461911E"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En cuanto a las otras etiologías, según el estudio del alcohol ha pasado a ser la primera causa de ingreso en las unidades de hepatología, en sustitución de la hepatitis C. Además, los autores reportan un aumento significativo en el número de ingresos por cirrosis por hígado graso y cirrosis autoinmune en los últimos años.</w:t>
      </w:r>
    </w:p>
    <w:p w14:paraId="6E08FED7" w14:textId="77777777" w:rsidR="00367BF4" w:rsidRPr="00467F2C" w:rsidRDefault="00367BF4" w:rsidP="00D97073">
      <w:pPr>
        <w:pStyle w:val="NormalWeb"/>
        <w:shd w:val="clear" w:color="auto" w:fill="FFFFFF"/>
        <w:textAlignment w:val="baseline"/>
        <w:rPr>
          <w:rFonts w:ascii="Cambria" w:hAnsi="Cambria"/>
          <w:kern w:val="2"/>
          <w:lang w:eastAsia="en-US"/>
        </w:rPr>
      </w:pPr>
      <w:r w:rsidRPr="00467F2C">
        <w:rPr>
          <w:rFonts w:ascii="Cambria" w:hAnsi="Cambria"/>
          <w:kern w:val="2"/>
          <w:lang w:eastAsia="en-US"/>
        </w:rPr>
        <w:t>Los resultados de este estudio ponen en valor el esfuerzo que ha supuesto la introducción de los antivirales de acción directa para el tratamiento de la hepatitis C y recalcan la importancia de implementar políticas que consigan la eliminación de esta enfermedad.</w:t>
      </w:r>
    </w:p>
    <w:p w14:paraId="6A25813A" w14:textId="77777777" w:rsidR="00367BF4" w:rsidRPr="00DD36B8" w:rsidRDefault="00367BF4" w:rsidP="00367BF4">
      <w:pPr>
        <w:pStyle w:val="NormalWeb"/>
        <w:shd w:val="clear" w:color="auto" w:fill="FFFFFF"/>
        <w:jc w:val="both"/>
        <w:textAlignment w:val="baseline"/>
        <w:rPr>
          <w:rFonts w:ascii="Cambria" w:hAnsi="Cambria"/>
          <w:b/>
          <w:bCs/>
          <w:kern w:val="2"/>
          <w:lang w:eastAsia="en-US"/>
        </w:rPr>
      </w:pPr>
      <w:r w:rsidRPr="00DD36B8">
        <w:rPr>
          <w:rFonts w:ascii="Cambria" w:hAnsi="Cambria"/>
          <w:b/>
          <w:bCs/>
          <w:kern w:val="2"/>
          <w:lang w:eastAsia="en-US"/>
        </w:rPr>
        <w:t>Referencia del estudio:</w:t>
      </w:r>
    </w:p>
    <w:p w14:paraId="3BDB897A" w14:textId="7C53682E" w:rsidR="00367BF4" w:rsidRPr="00DD36B8" w:rsidRDefault="003E17C9" w:rsidP="00367BF4">
      <w:pPr>
        <w:pStyle w:val="NormalWeb"/>
        <w:shd w:val="clear" w:color="auto" w:fill="FFFFFF"/>
        <w:jc w:val="both"/>
        <w:textAlignment w:val="baseline"/>
        <w:rPr>
          <w:rFonts w:ascii="Cambria" w:hAnsi="Cambria"/>
          <w:kern w:val="2"/>
          <w:lang w:eastAsia="en-US"/>
        </w:rPr>
      </w:pPr>
      <w:hyperlink r:id="rId9" w:history="1">
        <w:hyperlink r:id="rId10" w:history="1">
          <w:r w:rsidR="00367BF4" w:rsidRPr="00DD36B8">
            <w:rPr>
              <w:rStyle w:val="Hipervnculo"/>
              <w:rFonts w:ascii="Cambria" w:hAnsi="Cambria"/>
              <w:kern w:val="2"/>
              <w:lang w:eastAsia="en-US"/>
            </w:rPr>
            <w:t>Hepatitis C-related cirrhosis will be a marginal cause of hospital admissions by 2025</w:t>
          </w:r>
        </w:hyperlink>
      </w:hyperlink>
    </w:p>
    <w:p w14:paraId="7035ED60" w14:textId="77777777" w:rsidR="00367BF4" w:rsidRPr="00467F2C" w:rsidRDefault="00367BF4" w:rsidP="00367BF4">
      <w:pPr>
        <w:pStyle w:val="NormalWeb"/>
        <w:shd w:val="clear" w:color="auto" w:fill="FFFFFF"/>
        <w:jc w:val="both"/>
        <w:textAlignment w:val="baseline"/>
        <w:rPr>
          <w:rFonts w:ascii="Cambria" w:hAnsi="Cambria"/>
          <w:kern w:val="2"/>
          <w:lang w:eastAsia="en-US"/>
        </w:rPr>
      </w:pPr>
      <w:r w:rsidRPr="00467F2C">
        <w:rPr>
          <w:rFonts w:ascii="Cambria" w:hAnsi="Cambria"/>
          <w:kern w:val="2"/>
          <w:lang w:eastAsia="en-US"/>
        </w:rPr>
        <w:t xml:space="preserve">Sergio Rodríguez-Tajes, Anna </w:t>
      </w:r>
      <w:proofErr w:type="spellStart"/>
      <w:r w:rsidRPr="00467F2C">
        <w:rPr>
          <w:rFonts w:ascii="Cambria" w:hAnsi="Cambria"/>
          <w:kern w:val="2"/>
          <w:lang w:eastAsia="en-US"/>
        </w:rPr>
        <w:t>Pocurull</w:t>
      </w:r>
      <w:proofErr w:type="spellEnd"/>
      <w:r w:rsidRPr="00467F2C">
        <w:rPr>
          <w:rFonts w:ascii="Cambria" w:hAnsi="Cambria"/>
          <w:kern w:val="2"/>
          <w:lang w:eastAsia="en-US"/>
        </w:rPr>
        <w:t xml:space="preserve">, Joaquín Castillo, </w:t>
      </w:r>
      <w:proofErr w:type="spellStart"/>
      <w:r w:rsidRPr="00467F2C">
        <w:rPr>
          <w:rFonts w:ascii="Cambria" w:hAnsi="Cambria"/>
          <w:kern w:val="2"/>
          <w:lang w:eastAsia="en-US"/>
        </w:rPr>
        <w:t>Gherzon</w:t>
      </w:r>
      <w:proofErr w:type="spellEnd"/>
      <w:r w:rsidRPr="00467F2C">
        <w:rPr>
          <w:rFonts w:ascii="Cambria" w:hAnsi="Cambria"/>
          <w:kern w:val="2"/>
          <w:lang w:eastAsia="en-US"/>
        </w:rPr>
        <w:t xml:space="preserve"> Casanova, Laia Vega, Sabela Lens, </w:t>
      </w:r>
      <w:proofErr w:type="spellStart"/>
      <w:r w:rsidRPr="00467F2C">
        <w:rPr>
          <w:rFonts w:ascii="Cambria" w:hAnsi="Cambria"/>
          <w:kern w:val="2"/>
          <w:lang w:eastAsia="en-US"/>
        </w:rPr>
        <w:t>Zoe</w:t>
      </w:r>
      <w:proofErr w:type="spellEnd"/>
      <w:r w:rsidRPr="00467F2C">
        <w:rPr>
          <w:rFonts w:ascii="Cambria" w:hAnsi="Cambria"/>
          <w:kern w:val="2"/>
          <w:lang w:eastAsia="en-US"/>
        </w:rPr>
        <w:t xml:space="preserve"> Mariño, María-Carlota Londoño, Alejandro Forner, Ferran Torres, Xavier </w:t>
      </w:r>
      <w:proofErr w:type="spellStart"/>
      <w:r w:rsidRPr="00467F2C">
        <w:rPr>
          <w:rFonts w:ascii="Cambria" w:hAnsi="Cambria"/>
          <w:kern w:val="2"/>
          <w:lang w:eastAsia="en-US"/>
        </w:rPr>
        <w:t>Forns</w:t>
      </w:r>
      <w:proofErr w:type="spellEnd"/>
    </w:p>
    <w:p w14:paraId="5FE076D5" w14:textId="2B7D5E7C" w:rsidR="00367BF4" w:rsidRPr="00467F2C" w:rsidRDefault="00367BF4" w:rsidP="00367BF4">
      <w:pPr>
        <w:pStyle w:val="NormalWeb"/>
        <w:shd w:val="clear" w:color="auto" w:fill="FFFFFF"/>
        <w:jc w:val="both"/>
        <w:textAlignment w:val="baseline"/>
        <w:rPr>
          <w:rFonts w:ascii="Cambria" w:hAnsi="Cambria"/>
          <w:kern w:val="2"/>
          <w:lang w:eastAsia="en-US"/>
        </w:rPr>
      </w:pPr>
      <w:r w:rsidRPr="00467F2C">
        <w:rPr>
          <w:rFonts w:ascii="Cambria" w:hAnsi="Cambria"/>
          <w:kern w:val="2"/>
          <w:lang w:eastAsia="en-US"/>
        </w:rPr>
        <w:t>DOI:</w:t>
      </w:r>
      <w:r w:rsidR="00DE0A70">
        <w:rPr>
          <w:rFonts w:ascii="Cambria" w:hAnsi="Cambria"/>
          <w:kern w:val="2"/>
          <w:lang w:eastAsia="en-US"/>
        </w:rPr>
        <w:t xml:space="preserve"> </w:t>
      </w:r>
      <w:r w:rsidRPr="00467F2C">
        <w:rPr>
          <w:rFonts w:ascii="Cambria" w:hAnsi="Cambria"/>
          <w:kern w:val="2"/>
          <w:lang w:eastAsia="en-US"/>
        </w:rPr>
        <w:t>https://doi.org/10.1016/j.jhep.2020.07.018</w:t>
      </w:r>
    </w:p>
    <w:p w14:paraId="44C384CB" w14:textId="77777777" w:rsidR="00B54700" w:rsidRDefault="00B54700" w:rsidP="002B7C90">
      <w:pPr>
        <w:jc w:val="both"/>
        <w:rPr>
          <w:rFonts w:asciiTheme="majorHAnsi" w:hAnsiTheme="majorHAnsi" w:cs="Arial"/>
          <w:b/>
          <w:lang w:val="en-US" w:eastAsia="ca-ES"/>
        </w:rPr>
      </w:pPr>
    </w:p>
    <w:p w14:paraId="1BCA4B32" w14:textId="77777777" w:rsidR="002B7C90" w:rsidRPr="00183510" w:rsidRDefault="002B7C90" w:rsidP="002B7C90">
      <w:pPr>
        <w:jc w:val="both"/>
        <w:rPr>
          <w:rFonts w:asciiTheme="majorHAnsi" w:hAnsiTheme="majorHAnsi" w:cs="Arial"/>
          <w:b/>
          <w:lang w:eastAsia="ca-ES"/>
        </w:rPr>
      </w:pPr>
      <w:r w:rsidRPr="00183510">
        <w:rPr>
          <w:rFonts w:asciiTheme="majorHAnsi" w:hAnsiTheme="majorHAnsi" w:cs="Arial"/>
          <w:b/>
          <w:lang w:eastAsia="ca-ES"/>
        </w:rPr>
        <w:t xml:space="preserve">Sobre el CIBEREHD </w:t>
      </w:r>
    </w:p>
    <w:p w14:paraId="3AB382C6" w14:textId="77777777" w:rsidR="002B7C90" w:rsidRPr="000B0ED4" w:rsidRDefault="002B7C90" w:rsidP="002B7C90">
      <w:pPr>
        <w:jc w:val="both"/>
        <w:rPr>
          <w:rFonts w:asciiTheme="majorHAnsi" w:hAnsiTheme="majorHAnsi" w:cs="Arial"/>
          <w:lang w:val="es-ES_tradnl" w:eastAsia="ca-ES"/>
        </w:rPr>
      </w:pPr>
      <w:r>
        <w:rPr>
          <w:kern w:val="2"/>
        </w:rPr>
        <w:t xml:space="preserve">El CIBER (Consorcio Centro de Investigación Biomédica en Red, M.P.) depende del Instituto de Salud Carlos III –Ministerio de Ciencia e Innovación– y está cofinanciado por el Fondo Europeo de Desarrollo Regional (FEDER). </w:t>
      </w:r>
      <w:r>
        <w:rPr>
          <w:rFonts w:asciiTheme="majorHAnsi" w:hAnsiTheme="majorHAnsi" w:cs="Arial"/>
          <w:lang w:val="es-ES_tradnl" w:eastAsia="ca-ES"/>
        </w:rPr>
        <w:t xml:space="preserve">El CIBER </w:t>
      </w:r>
      <w:proofErr w:type="gramStart"/>
      <w:r>
        <w:rPr>
          <w:rFonts w:asciiTheme="majorHAnsi" w:hAnsiTheme="majorHAnsi" w:cs="Arial"/>
          <w:lang w:val="es-ES_tradnl" w:eastAsia="ca-ES"/>
        </w:rPr>
        <w:t xml:space="preserve">de </w:t>
      </w:r>
      <w:r w:rsidR="000B0ED4">
        <w:rPr>
          <w:rFonts w:asciiTheme="majorHAnsi" w:hAnsiTheme="majorHAnsi" w:cs="Arial"/>
          <w:lang w:val="es-ES_tradnl" w:eastAsia="ca-ES"/>
        </w:rPr>
        <w:t xml:space="preserve"> </w:t>
      </w:r>
      <w:r>
        <w:rPr>
          <w:rFonts w:asciiTheme="majorHAnsi" w:hAnsiTheme="majorHAnsi" w:cs="Arial"/>
          <w:lang w:val="es-ES_tradnl" w:eastAsia="ca-ES"/>
        </w:rPr>
        <w:t>Enfermedades</w:t>
      </w:r>
      <w:proofErr w:type="gramEnd"/>
      <w:r>
        <w:rPr>
          <w:rFonts w:asciiTheme="majorHAnsi" w:hAnsiTheme="majorHAnsi" w:cs="Arial"/>
          <w:lang w:val="es-ES_tradnl" w:eastAsia="ca-ES"/>
        </w:rPr>
        <w:t xml:space="preserve"> Hepáticas y Digestivas (CIBEREHD) tiene como finalidad la promoción y protección de la salud por medio del fomento de la investigación. Esta actividad, cuyo alcance incluye tanto a las investigaciones de carácter básico, como aspectos clínicos y traslacionales, se fundamenta en torno a la temática de enfermedades hepáticas y digestivas con la finalidad de innovar en la prevención de dichas enfermedades y de promover avances científicos y sanitarios relevantes a través de la colaboración de los mejores grupos españoles. </w:t>
      </w:r>
      <w:r>
        <w:t>El CIBEREHD está formado por 51 grupos de investigación (8 son grupos clínicos vinculados), pertenecientes a instituciones de naturaleza diversa y está organizado en torno a 3 Programas Científicos.</w:t>
      </w:r>
    </w:p>
    <w:p w14:paraId="5F567454" w14:textId="77777777" w:rsidR="00C800FB" w:rsidRDefault="00C800FB" w:rsidP="002B7C90">
      <w:pPr>
        <w:jc w:val="both"/>
        <w:rPr>
          <w:rFonts w:asciiTheme="majorHAnsi" w:hAnsiTheme="majorHAnsi" w:cs="Arial"/>
          <w:b/>
          <w:bCs/>
          <w:lang w:val="es-ES_tradnl" w:eastAsia="ca-ES"/>
        </w:rPr>
      </w:pPr>
    </w:p>
    <w:p w14:paraId="13ACB5F5" w14:textId="57EAA205" w:rsidR="002B7C90" w:rsidRPr="00AE36D0" w:rsidRDefault="002B7C90" w:rsidP="002B7C90">
      <w:pPr>
        <w:jc w:val="both"/>
        <w:rPr>
          <w:rFonts w:asciiTheme="majorHAnsi" w:hAnsiTheme="majorHAnsi" w:cs="Arial"/>
          <w:b/>
          <w:bCs/>
          <w:lang w:val="es-ES_tradnl" w:eastAsia="ca-ES"/>
        </w:rPr>
      </w:pPr>
      <w:r w:rsidRPr="00AE36D0">
        <w:rPr>
          <w:rFonts w:asciiTheme="majorHAnsi" w:hAnsiTheme="majorHAnsi" w:cs="Arial"/>
          <w:b/>
          <w:bCs/>
          <w:lang w:val="es-ES_tradnl" w:eastAsia="ca-ES"/>
        </w:rPr>
        <w:t>Más información</w:t>
      </w:r>
      <w:r w:rsidR="00EE0E2C">
        <w:rPr>
          <w:rFonts w:asciiTheme="majorHAnsi" w:hAnsiTheme="majorHAnsi" w:cs="Arial"/>
          <w:b/>
          <w:bCs/>
          <w:lang w:val="es-ES_tradnl" w:eastAsia="ca-ES"/>
        </w:rPr>
        <w:t xml:space="preserve">: </w:t>
      </w:r>
    </w:p>
    <w:p w14:paraId="63CD2B2E" w14:textId="77777777" w:rsidR="002B7C90" w:rsidRDefault="002B7C90" w:rsidP="002B7C90">
      <w:pPr>
        <w:jc w:val="both"/>
        <w:rPr>
          <w:rFonts w:asciiTheme="majorHAnsi" w:hAnsiTheme="majorHAnsi" w:cs="Arial"/>
          <w:lang w:val="es-ES_tradnl" w:eastAsia="ca-ES"/>
        </w:rPr>
      </w:pPr>
      <w:r>
        <w:rPr>
          <w:rFonts w:asciiTheme="majorHAnsi" w:hAnsiTheme="majorHAnsi" w:cs="Arial"/>
          <w:lang w:val="es-ES_tradnl" w:eastAsia="ca-ES"/>
        </w:rPr>
        <w:t>Departamento de Comunicación CIBER</w:t>
      </w:r>
    </w:p>
    <w:p w14:paraId="50FE5FDF" w14:textId="77777777" w:rsidR="002B7C90" w:rsidRDefault="003E17C9" w:rsidP="002B7C90">
      <w:pPr>
        <w:rPr>
          <w:rStyle w:val="Hipervnculo"/>
          <w:rFonts w:asciiTheme="majorHAnsi" w:hAnsiTheme="majorHAnsi" w:cs="Arial"/>
          <w:lang w:val="es-ES_tradnl" w:eastAsia="ca-ES"/>
        </w:rPr>
      </w:pPr>
      <w:hyperlink r:id="rId11" w:history="1">
        <w:r w:rsidR="002B7C90" w:rsidRPr="00676327">
          <w:rPr>
            <w:rStyle w:val="Hipervnculo"/>
            <w:rFonts w:asciiTheme="majorHAnsi" w:hAnsiTheme="majorHAnsi" w:cs="Arial"/>
            <w:lang w:val="es-ES_tradnl" w:eastAsia="ca-ES"/>
          </w:rPr>
          <w:t>comunicacion@ciberisciii.es</w:t>
        </w:r>
      </w:hyperlink>
    </w:p>
    <w:p w14:paraId="49B0D7E3" w14:textId="77777777" w:rsidR="001141A0" w:rsidRDefault="001141A0" w:rsidP="002B7C90">
      <w:pPr>
        <w:rPr>
          <w:rStyle w:val="Hipervnculo"/>
          <w:rFonts w:asciiTheme="majorHAnsi" w:hAnsiTheme="majorHAnsi" w:cs="Arial"/>
          <w:lang w:val="es-ES_tradnl" w:eastAsia="ca-ES"/>
        </w:rPr>
      </w:pPr>
    </w:p>
    <w:p w14:paraId="2056EC32" w14:textId="77777777" w:rsidR="001141A0" w:rsidRDefault="001141A0" w:rsidP="002B7C90"/>
    <w:sectPr w:rsidR="001141A0" w:rsidSect="000B0ED4">
      <w:headerReference w:type="default" r:id="rId12"/>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4D96" w14:textId="77777777" w:rsidR="004C0826" w:rsidRDefault="004C0826" w:rsidP="002B7C90">
      <w:pPr>
        <w:spacing w:after="0"/>
      </w:pPr>
      <w:r>
        <w:separator/>
      </w:r>
    </w:p>
  </w:endnote>
  <w:endnote w:type="continuationSeparator" w:id="0">
    <w:p w14:paraId="2D4A7D6A" w14:textId="77777777" w:rsidR="004C0826" w:rsidRDefault="004C0826" w:rsidP="002B7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EDA4" w14:textId="77777777" w:rsidR="004C0826" w:rsidRDefault="004C0826" w:rsidP="002B7C90">
      <w:pPr>
        <w:spacing w:after="0"/>
      </w:pPr>
      <w:r>
        <w:separator/>
      </w:r>
    </w:p>
  </w:footnote>
  <w:footnote w:type="continuationSeparator" w:id="0">
    <w:p w14:paraId="4CC436A4" w14:textId="77777777" w:rsidR="004C0826" w:rsidRDefault="004C0826" w:rsidP="002B7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6C5A" w14:textId="77777777" w:rsidR="002B7C90" w:rsidRDefault="00183A73">
    <w:pPr>
      <w:pStyle w:val="Encabezado"/>
    </w:pPr>
    <w:r>
      <w:rPr>
        <w:noProof/>
        <w:lang w:eastAsia="es-ES"/>
      </w:rPr>
      <w:drawing>
        <wp:anchor distT="0" distB="1270" distL="114300" distR="118745" simplePos="0" relativeHeight="251659264" behindDoc="1" locked="0" layoutInCell="1" allowOverlap="1" wp14:anchorId="32859DDE" wp14:editId="4B06228B">
          <wp:simplePos x="0" y="0"/>
          <wp:positionH relativeFrom="column">
            <wp:posOffset>-365125</wp:posOffset>
          </wp:positionH>
          <wp:positionV relativeFrom="paragraph">
            <wp:posOffset>-65405</wp:posOffset>
          </wp:positionV>
          <wp:extent cx="1192530" cy="527050"/>
          <wp:effectExtent l="0" t="0" r="7620" b="6350"/>
          <wp:wrapSquare wrapText="bothSides"/>
          <wp:docPr id="3" name="Imagen 5" descr="C:\Documents and Settings\Laura\Escritorio\logo_ciberehd_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C:\Documents and Settings\Laura\Escritorio\logo_ciberehd_tex.jpg"/>
                  <pic:cNvPicPr>
                    <a:picLocks noChangeAspect="1" noChangeArrowheads="1"/>
                  </pic:cNvPicPr>
                </pic:nvPicPr>
                <pic:blipFill>
                  <a:blip r:embed="rId1"/>
                  <a:stretch>
                    <a:fillRect/>
                  </a:stretch>
                </pic:blipFill>
                <pic:spPr bwMode="auto">
                  <a:xfrm>
                    <a:off x="0" y="0"/>
                    <a:ext cx="1192530" cy="527050"/>
                  </a:xfrm>
                  <a:prstGeom prst="rect">
                    <a:avLst/>
                  </a:prstGeom>
                </pic:spPr>
              </pic:pic>
            </a:graphicData>
          </a:graphic>
          <wp14:sizeRelH relativeFrom="margin">
            <wp14:pctWidth>0</wp14:pctWidth>
          </wp14:sizeRelH>
          <wp14:sizeRelV relativeFrom="margin">
            <wp14:pctHeight>0</wp14:pctHeight>
          </wp14:sizeRelV>
        </wp:anchor>
      </w:drawing>
    </w:r>
    <w:r w:rsidR="002B7C90" w:rsidRPr="00C47DBA">
      <w:rPr>
        <w:noProof/>
        <w:lang w:eastAsia="es-ES"/>
      </w:rPr>
      <w:drawing>
        <wp:anchor distT="0" distB="0" distL="114300" distR="114300" simplePos="0" relativeHeight="251665408" behindDoc="0" locked="0" layoutInCell="1" allowOverlap="1" wp14:anchorId="4568009E" wp14:editId="41EC8A3C">
          <wp:simplePos x="0" y="0"/>
          <wp:positionH relativeFrom="column">
            <wp:posOffset>5541645</wp:posOffset>
          </wp:positionH>
          <wp:positionV relativeFrom="paragraph">
            <wp:posOffset>-67310</wp:posOffset>
          </wp:positionV>
          <wp:extent cx="609600" cy="494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002B7C90" w:rsidRPr="00C47DBA">
      <w:rPr>
        <w:noProof/>
        <w:lang w:eastAsia="es-ES"/>
      </w:rPr>
      <w:drawing>
        <wp:anchor distT="0" distB="0" distL="114300" distR="114300" simplePos="0" relativeHeight="251663360" behindDoc="0" locked="0" layoutInCell="1" allowOverlap="1" wp14:anchorId="2A7FFBA9" wp14:editId="0AE65066">
          <wp:simplePos x="0" y="0"/>
          <wp:positionH relativeFrom="column">
            <wp:posOffset>3727450</wp:posOffset>
          </wp:positionH>
          <wp:positionV relativeFrom="paragraph">
            <wp:posOffset>-18415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2B7C90">
      <w:rPr>
        <w:noProof/>
        <w:lang w:eastAsia="es-ES"/>
      </w:rPr>
      <w:drawing>
        <wp:anchor distT="0" distB="0" distL="114300" distR="114300" simplePos="0" relativeHeight="251661312" behindDoc="1" locked="0" layoutInCell="1" allowOverlap="1" wp14:anchorId="40A70FE7" wp14:editId="6419E942">
          <wp:simplePos x="0" y="0"/>
          <wp:positionH relativeFrom="column">
            <wp:posOffset>2348230</wp:posOffset>
          </wp:positionH>
          <wp:positionV relativeFrom="paragraph">
            <wp:posOffset>-97155</wp:posOffset>
          </wp:positionV>
          <wp:extent cx="1314450" cy="523875"/>
          <wp:effectExtent l="0" t="0" r="0" b="9525"/>
          <wp:wrapThrough wrapText="bothSides">
            <wp:wrapPolygon edited="0">
              <wp:start x="0" y="0"/>
              <wp:lineTo x="0" y="21207"/>
              <wp:lineTo x="21287" y="21207"/>
              <wp:lineTo x="21287" y="0"/>
              <wp:lineTo x="0" y="0"/>
            </wp:wrapPolygon>
          </wp:wrapThrough>
          <wp:docPr id="7" name="Imagen 7"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C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63D9E"/>
    <w:multiLevelType w:val="hybridMultilevel"/>
    <w:tmpl w:val="4EF6C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BD0D82"/>
    <w:multiLevelType w:val="hybridMultilevel"/>
    <w:tmpl w:val="B4409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8C5650"/>
    <w:multiLevelType w:val="hybridMultilevel"/>
    <w:tmpl w:val="254AD3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F7"/>
    <w:rsid w:val="0004182A"/>
    <w:rsid w:val="000727BA"/>
    <w:rsid w:val="000A2CB9"/>
    <w:rsid w:val="000B0ED4"/>
    <w:rsid w:val="000B7BA0"/>
    <w:rsid w:val="000E6D0D"/>
    <w:rsid w:val="000F05F7"/>
    <w:rsid w:val="001141A0"/>
    <w:rsid w:val="00130805"/>
    <w:rsid w:val="001530B0"/>
    <w:rsid w:val="00160B86"/>
    <w:rsid w:val="00172138"/>
    <w:rsid w:val="00176F7F"/>
    <w:rsid w:val="0017720F"/>
    <w:rsid w:val="00183510"/>
    <w:rsid w:val="00183A73"/>
    <w:rsid w:val="00212EBC"/>
    <w:rsid w:val="00265FE1"/>
    <w:rsid w:val="00292464"/>
    <w:rsid w:val="002A4149"/>
    <w:rsid w:val="002B1B53"/>
    <w:rsid w:val="002B7C90"/>
    <w:rsid w:val="002C2045"/>
    <w:rsid w:val="00343533"/>
    <w:rsid w:val="00344EEF"/>
    <w:rsid w:val="00367BF4"/>
    <w:rsid w:val="00374429"/>
    <w:rsid w:val="003E17C9"/>
    <w:rsid w:val="003F38CD"/>
    <w:rsid w:val="00411C54"/>
    <w:rsid w:val="0044250F"/>
    <w:rsid w:val="004567D9"/>
    <w:rsid w:val="00467F2C"/>
    <w:rsid w:val="00482311"/>
    <w:rsid w:val="004C0826"/>
    <w:rsid w:val="004C3D4C"/>
    <w:rsid w:val="00511D8F"/>
    <w:rsid w:val="0053166A"/>
    <w:rsid w:val="0054554C"/>
    <w:rsid w:val="00583800"/>
    <w:rsid w:val="00654106"/>
    <w:rsid w:val="006622C8"/>
    <w:rsid w:val="00665BFB"/>
    <w:rsid w:val="006A07C4"/>
    <w:rsid w:val="006D650C"/>
    <w:rsid w:val="007347EE"/>
    <w:rsid w:val="00741267"/>
    <w:rsid w:val="007A5D0A"/>
    <w:rsid w:val="00861EA3"/>
    <w:rsid w:val="008F0AB1"/>
    <w:rsid w:val="0092548A"/>
    <w:rsid w:val="009367E0"/>
    <w:rsid w:val="00946CD9"/>
    <w:rsid w:val="00952841"/>
    <w:rsid w:val="009C3DF4"/>
    <w:rsid w:val="009D0496"/>
    <w:rsid w:val="009D338C"/>
    <w:rsid w:val="009E0057"/>
    <w:rsid w:val="00A00C6F"/>
    <w:rsid w:val="00A03AB9"/>
    <w:rsid w:val="00A2739B"/>
    <w:rsid w:val="00A433C0"/>
    <w:rsid w:val="00A44DEC"/>
    <w:rsid w:val="00A97AA9"/>
    <w:rsid w:val="00B54700"/>
    <w:rsid w:val="00B92DFE"/>
    <w:rsid w:val="00BB5F80"/>
    <w:rsid w:val="00BD1D0E"/>
    <w:rsid w:val="00BE7116"/>
    <w:rsid w:val="00C248C9"/>
    <w:rsid w:val="00C800FB"/>
    <w:rsid w:val="00CB62A5"/>
    <w:rsid w:val="00CD7296"/>
    <w:rsid w:val="00CE6219"/>
    <w:rsid w:val="00D55901"/>
    <w:rsid w:val="00D570F3"/>
    <w:rsid w:val="00D97073"/>
    <w:rsid w:val="00DA3CE9"/>
    <w:rsid w:val="00DD36B8"/>
    <w:rsid w:val="00DE0A70"/>
    <w:rsid w:val="00DF606D"/>
    <w:rsid w:val="00E05D11"/>
    <w:rsid w:val="00EE0E2C"/>
    <w:rsid w:val="00EF3772"/>
    <w:rsid w:val="00F05709"/>
    <w:rsid w:val="00F5510E"/>
    <w:rsid w:val="00F67342"/>
    <w:rsid w:val="00FA4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CD361"/>
  <w15:docId w15:val="{FC976C8A-0EF8-438C-B3D8-7EB9F8B6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90"/>
    <w:pPr>
      <w:suppressAutoHyphens/>
      <w:spacing w:line="240" w:lineRule="auto"/>
    </w:pPr>
    <w:rPr>
      <w:rFonts w:ascii="Cambria" w:eastAsia="Times New Roman" w:hAnsi="Cambria" w:cs="Times New Roman"/>
      <w:kern w:val="1"/>
      <w:sz w:val="24"/>
      <w:szCs w:val="24"/>
    </w:rPr>
  </w:style>
  <w:style w:type="paragraph" w:styleId="Ttulo1">
    <w:name w:val="heading 1"/>
    <w:basedOn w:val="Normal"/>
    <w:next w:val="Normal"/>
    <w:link w:val="Ttulo1Car"/>
    <w:uiPriority w:val="9"/>
    <w:qFormat/>
    <w:rsid w:val="002C2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F606D"/>
    <w:pPr>
      <w:suppressAutoHyphens w:val="0"/>
      <w:spacing w:before="100" w:beforeAutospacing="1" w:after="100" w:afterAutospacing="1"/>
      <w:outlineLvl w:val="2"/>
    </w:pPr>
    <w:rPr>
      <w:rFonts w:ascii="Times New Roman" w:hAnsi="Times New Roman"/>
      <w:b/>
      <w:bCs/>
      <w:kern w:val="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C90"/>
    <w:pPr>
      <w:tabs>
        <w:tab w:val="center" w:pos="4252"/>
        <w:tab w:val="right" w:pos="8504"/>
      </w:tabs>
      <w:suppressAutoHyphens w:val="0"/>
      <w:spacing w:after="0"/>
    </w:pPr>
    <w:rPr>
      <w:rFonts w:asciiTheme="minorHAnsi" w:eastAsiaTheme="minorHAnsi" w:hAnsiTheme="minorHAnsi" w:cstheme="minorBidi"/>
      <w:kern w:val="0"/>
      <w:sz w:val="22"/>
      <w:szCs w:val="22"/>
    </w:rPr>
  </w:style>
  <w:style w:type="character" w:customStyle="1" w:styleId="EncabezadoCar">
    <w:name w:val="Encabezado Car"/>
    <w:basedOn w:val="Fuentedeprrafopredeter"/>
    <w:link w:val="Encabezado"/>
    <w:uiPriority w:val="99"/>
    <w:rsid w:val="002B7C90"/>
  </w:style>
  <w:style w:type="paragraph" w:styleId="Piedepgina">
    <w:name w:val="footer"/>
    <w:basedOn w:val="Normal"/>
    <w:link w:val="PiedepginaCar"/>
    <w:uiPriority w:val="99"/>
    <w:unhideWhenUsed/>
    <w:rsid w:val="002B7C90"/>
    <w:pPr>
      <w:tabs>
        <w:tab w:val="center" w:pos="4252"/>
        <w:tab w:val="right" w:pos="8504"/>
      </w:tabs>
      <w:suppressAutoHyphens w:val="0"/>
      <w:spacing w:after="0"/>
    </w:pPr>
    <w:rPr>
      <w:rFonts w:asciiTheme="minorHAnsi" w:eastAsiaTheme="minorHAnsi" w:hAnsiTheme="minorHAnsi" w:cstheme="minorBidi"/>
      <w:kern w:val="0"/>
      <w:sz w:val="22"/>
      <w:szCs w:val="22"/>
    </w:rPr>
  </w:style>
  <w:style w:type="character" w:customStyle="1" w:styleId="PiedepginaCar">
    <w:name w:val="Pie de página Car"/>
    <w:basedOn w:val="Fuentedeprrafopredeter"/>
    <w:link w:val="Piedepgina"/>
    <w:uiPriority w:val="99"/>
    <w:rsid w:val="002B7C90"/>
  </w:style>
  <w:style w:type="character" w:styleId="Hipervnculo">
    <w:name w:val="Hyperlink"/>
    <w:basedOn w:val="Fuentedeprrafopredeter"/>
    <w:uiPriority w:val="99"/>
    <w:unhideWhenUsed/>
    <w:rsid w:val="002B7C90"/>
    <w:rPr>
      <w:color w:val="0000FF" w:themeColor="hyperlink"/>
      <w:u w:val="single"/>
    </w:rPr>
  </w:style>
  <w:style w:type="paragraph" w:styleId="Textodeglobo">
    <w:name w:val="Balloon Text"/>
    <w:basedOn w:val="Normal"/>
    <w:link w:val="TextodegloboCar"/>
    <w:uiPriority w:val="99"/>
    <w:semiHidden/>
    <w:unhideWhenUsed/>
    <w:rsid w:val="00183A7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A73"/>
    <w:rPr>
      <w:rFonts w:ascii="Tahoma" w:eastAsia="Times New Roman" w:hAnsi="Tahoma" w:cs="Tahoma"/>
      <w:kern w:val="1"/>
      <w:sz w:val="16"/>
      <w:szCs w:val="16"/>
    </w:rPr>
  </w:style>
  <w:style w:type="paragraph" w:styleId="Prrafodelista">
    <w:name w:val="List Paragraph"/>
    <w:basedOn w:val="Normal"/>
    <w:uiPriority w:val="34"/>
    <w:qFormat/>
    <w:rsid w:val="004C3D4C"/>
    <w:pPr>
      <w:ind w:left="720"/>
      <w:contextualSpacing/>
    </w:pPr>
  </w:style>
  <w:style w:type="character" w:styleId="Refdecomentario">
    <w:name w:val="annotation reference"/>
    <w:basedOn w:val="Fuentedeprrafopredeter"/>
    <w:uiPriority w:val="99"/>
    <w:semiHidden/>
    <w:unhideWhenUsed/>
    <w:rsid w:val="00212EBC"/>
    <w:rPr>
      <w:sz w:val="18"/>
      <w:szCs w:val="18"/>
    </w:rPr>
  </w:style>
  <w:style w:type="paragraph" w:styleId="Textocomentario">
    <w:name w:val="annotation text"/>
    <w:basedOn w:val="Normal"/>
    <w:link w:val="TextocomentarioCar"/>
    <w:uiPriority w:val="99"/>
    <w:semiHidden/>
    <w:unhideWhenUsed/>
    <w:rsid w:val="00212EBC"/>
  </w:style>
  <w:style w:type="character" w:customStyle="1" w:styleId="TextocomentarioCar">
    <w:name w:val="Texto comentario Car"/>
    <w:basedOn w:val="Fuentedeprrafopredeter"/>
    <w:link w:val="Textocomentario"/>
    <w:uiPriority w:val="99"/>
    <w:semiHidden/>
    <w:rsid w:val="00212EBC"/>
    <w:rPr>
      <w:rFonts w:ascii="Cambria" w:eastAsia="Times New Roman" w:hAnsi="Cambria" w:cs="Times New Roman"/>
      <w:kern w:val="1"/>
      <w:sz w:val="24"/>
      <w:szCs w:val="24"/>
    </w:rPr>
  </w:style>
  <w:style w:type="paragraph" w:styleId="Asuntodelcomentario">
    <w:name w:val="annotation subject"/>
    <w:basedOn w:val="Textocomentario"/>
    <w:next w:val="Textocomentario"/>
    <w:link w:val="AsuntodelcomentarioCar"/>
    <w:uiPriority w:val="99"/>
    <w:semiHidden/>
    <w:unhideWhenUsed/>
    <w:rsid w:val="00212EBC"/>
    <w:rPr>
      <w:b/>
      <w:bCs/>
      <w:sz w:val="20"/>
      <w:szCs w:val="20"/>
    </w:rPr>
  </w:style>
  <w:style w:type="character" w:customStyle="1" w:styleId="AsuntodelcomentarioCar">
    <w:name w:val="Asunto del comentario Car"/>
    <w:basedOn w:val="TextocomentarioCar"/>
    <w:link w:val="Asuntodelcomentario"/>
    <w:uiPriority w:val="99"/>
    <w:semiHidden/>
    <w:rsid w:val="00212EBC"/>
    <w:rPr>
      <w:rFonts w:ascii="Cambria" w:eastAsia="Times New Roman" w:hAnsi="Cambria" w:cs="Times New Roman"/>
      <w:b/>
      <w:bCs/>
      <w:kern w:val="1"/>
      <w:sz w:val="20"/>
      <w:szCs w:val="20"/>
    </w:rPr>
  </w:style>
  <w:style w:type="character" w:customStyle="1" w:styleId="Ttulo3Car">
    <w:name w:val="Título 3 Car"/>
    <w:basedOn w:val="Fuentedeprrafopredeter"/>
    <w:link w:val="Ttulo3"/>
    <w:uiPriority w:val="9"/>
    <w:rsid w:val="00DF606D"/>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DF606D"/>
    <w:rPr>
      <w:i/>
      <w:iCs/>
    </w:rPr>
  </w:style>
  <w:style w:type="paragraph" w:styleId="NormalWeb">
    <w:name w:val="Normal (Web)"/>
    <w:basedOn w:val="Normal"/>
    <w:uiPriority w:val="99"/>
    <w:unhideWhenUsed/>
    <w:rsid w:val="00583800"/>
    <w:pPr>
      <w:suppressAutoHyphens w:val="0"/>
      <w:spacing w:before="100" w:beforeAutospacing="1" w:after="100" w:afterAutospacing="1"/>
    </w:pPr>
    <w:rPr>
      <w:rFonts w:ascii="Times New Roman" w:hAnsi="Times New Roman"/>
      <w:kern w:val="0"/>
      <w:lang w:eastAsia="es-ES"/>
    </w:rPr>
  </w:style>
  <w:style w:type="character" w:styleId="Textoennegrita">
    <w:name w:val="Strong"/>
    <w:basedOn w:val="Fuentedeprrafopredeter"/>
    <w:uiPriority w:val="22"/>
    <w:qFormat/>
    <w:rsid w:val="00583800"/>
    <w:rPr>
      <w:b/>
      <w:bCs/>
    </w:rPr>
  </w:style>
  <w:style w:type="character" w:customStyle="1" w:styleId="Ttulo1Car">
    <w:name w:val="Título 1 Car"/>
    <w:basedOn w:val="Fuentedeprrafopredeter"/>
    <w:link w:val="Ttulo1"/>
    <w:uiPriority w:val="9"/>
    <w:rsid w:val="002C2045"/>
    <w:rPr>
      <w:rFonts w:asciiTheme="majorHAnsi" w:eastAsiaTheme="majorEastAsia" w:hAnsiTheme="majorHAnsi" w:cstheme="majorBidi"/>
      <w:b/>
      <w:bCs/>
      <w:color w:val="365F91" w:themeColor="accent1" w:themeShade="BF"/>
      <w:kern w:val="1"/>
      <w:sz w:val="28"/>
      <w:szCs w:val="28"/>
    </w:rPr>
  </w:style>
  <w:style w:type="paragraph" w:styleId="Textoindependiente">
    <w:name w:val="Body Text"/>
    <w:basedOn w:val="Normal"/>
    <w:link w:val="TextoindependienteCar"/>
    <w:uiPriority w:val="99"/>
    <w:unhideWhenUsed/>
    <w:rsid w:val="002C2045"/>
    <w:pPr>
      <w:spacing w:after="120"/>
    </w:pPr>
  </w:style>
  <w:style w:type="character" w:customStyle="1" w:styleId="TextoindependienteCar">
    <w:name w:val="Texto independiente Car"/>
    <w:basedOn w:val="Fuentedeprrafopredeter"/>
    <w:link w:val="Textoindependiente"/>
    <w:uiPriority w:val="99"/>
    <w:rsid w:val="002C2045"/>
    <w:rPr>
      <w:rFonts w:ascii="Cambria" w:eastAsia="Times New Roman" w:hAnsi="Cambria" w:cs="Times New Roman"/>
      <w:kern w:val="1"/>
      <w:sz w:val="24"/>
      <w:szCs w:val="24"/>
    </w:rPr>
  </w:style>
  <w:style w:type="character" w:styleId="Hipervnculovisitado">
    <w:name w:val="FollowedHyperlink"/>
    <w:basedOn w:val="Fuentedeprrafopredeter"/>
    <w:uiPriority w:val="99"/>
    <w:semiHidden/>
    <w:unhideWhenUsed/>
    <w:rsid w:val="00DD36B8"/>
    <w:rPr>
      <w:color w:val="800080" w:themeColor="followedHyperlink"/>
      <w:u w:val="single"/>
    </w:rPr>
  </w:style>
  <w:style w:type="character" w:styleId="Mencinsinresolver">
    <w:name w:val="Unresolved Mention"/>
    <w:basedOn w:val="Fuentedeprrafopredeter"/>
    <w:uiPriority w:val="99"/>
    <w:semiHidden/>
    <w:unhideWhenUsed/>
    <w:rsid w:val="00DD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5377">
      <w:bodyDiv w:val="1"/>
      <w:marLeft w:val="0"/>
      <w:marRight w:val="0"/>
      <w:marTop w:val="0"/>
      <w:marBottom w:val="0"/>
      <w:divBdr>
        <w:top w:val="none" w:sz="0" w:space="0" w:color="auto"/>
        <w:left w:val="none" w:sz="0" w:space="0" w:color="auto"/>
        <w:bottom w:val="none" w:sz="0" w:space="0" w:color="auto"/>
        <w:right w:val="none" w:sz="0" w:space="0" w:color="auto"/>
      </w:divBdr>
    </w:div>
    <w:div w:id="1297683666">
      <w:bodyDiv w:val="1"/>
      <w:marLeft w:val="0"/>
      <w:marRight w:val="0"/>
      <w:marTop w:val="0"/>
      <w:marBottom w:val="0"/>
      <w:divBdr>
        <w:top w:val="none" w:sz="0" w:space="0" w:color="auto"/>
        <w:left w:val="none" w:sz="0" w:space="0" w:color="auto"/>
        <w:bottom w:val="none" w:sz="0" w:space="0" w:color="auto"/>
        <w:right w:val="none" w:sz="0" w:space="0" w:color="auto"/>
      </w:divBdr>
      <w:divsChild>
        <w:div w:id="1262566365">
          <w:marLeft w:val="0"/>
          <w:marRight w:val="0"/>
          <w:marTop w:val="150"/>
          <w:marBottom w:val="270"/>
          <w:divBdr>
            <w:top w:val="none" w:sz="0" w:space="0" w:color="auto"/>
            <w:left w:val="none" w:sz="0" w:space="0" w:color="auto"/>
            <w:bottom w:val="none" w:sz="0" w:space="0" w:color="auto"/>
            <w:right w:val="none" w:sz="0" w:space="0" w:color="auto"/>
          </w:divBdr>
        </w:div>
        <w:div w:id="515658640">
          <w:marLeft w:val="0"/>
          <w:marRight w:val="0"/>
          <w:marTop w:val="150"/>
          <w:marBottom w:val="270"/>
          <w:divBdr>
            <w:top w:val="none" w:sz="0" w:space="0" w:color="auto"/>
            <w:left w:val="none" w:sz="0" w:space="0" w:color="auto"/>
            <w:bottom w:val="none" w:sz="0" w:space="0" w:color="auto"/>
            <w:right w:val="none" w:sz="0" w:space="0" w:color="auto"/>
          </w:divBdr>
        </w:div>
      </w:divsChild>
    </w:div>
    <w:div w:id="1361474775">
      <w:bodyDiv w:val="1"/>
      <w:marLeft w:val="0"/>
      <w:marRight w:val="0"/>
      <w:marTop w:val="0"/>
      <w:marBottom w:val="0"/>
      <w:divBdr>
        <w:top w:val="none" w:sz="0" w:space="0" w:color="auto"/>
        <w:left w:val="none" w:sz="0" w:space="0" w:color="auto"/>
        <w:bottom w:val="none" w:sz="0" w:space="0" w:color="auto"/>
        <w:right w:val="none" w:sz="0" w:space="0" w:color="auto"/>
      </w:divBdr>
    </w:div>
    <w:div w:id="1964191606">
      <w:bodyDiv w:val="1"/>
      <w:marLeft w:val="0"/>
      <w:marRight w:val="0"/>
      <w:marTop w:val="0"/>
      <w:marBottom w:val="0"/>
      <w:divBdr>
        <w:top w:val="none" w:sz="0" w:space="0" w:color="auto"/>
        <w:left w:val="none" w:sz="0" w:space="0" w:color="auto"/>
        <w:bottom w:val="none" w:sz="0" w:space="0" w:color="auto"/>
        <w:right w:val="none" w:sz="0" w:space="0" w:color="auto"/>
      </w:divBdr>
    </w:div>
    <w:div w:id="1979409364">
      <w:bodyDiv w:val="1"/>
      <w:marLeft w:val="0"/>
      <w:marRight w:val="0"/>
      <w:marTop w:val="0"/>
      <w:marBottom w:val="0"/>
      <w:divBdr>
        <w:top w:val="none" w:sz="0" w:space="0" w:color="auto"/>
        <w:left w:val="none" w:sz="0" w:space="0" w:color="auto"/>
        <w:bottom w:val="none" w:sz="0" w:space="0" w:color="auto"/>
        <w:right w:val="none" w:sz="0" w:space="0" w:color="auto"/>
      </w:divBdr>
    </w:div>
    <w:div w:id="20758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icbarcelona.org/idibaps/areas-de-investigacion/higado-sistema-digestivo-y-metabolismo/hepatopatias-viricas-toxicas-y-metaboli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ciberisciii.es" TargetMode="External"/><Relationship Id="rId5" Type="http://schemas.openxmlformats.org/officeDocument/2006/relationships/webSettings" Target="webSettings.xml"/><Relationship Id="rId10" Type="http://schemas.openxmlformats.org/officeDocument/2006/relationships/hyperlink" Target="https://doi.org/10.1016/j.jhep.2020.07.018" TargetMode="External"/><Relationship Id="rId4" Type="http://schemas.openxmlformats.org/officeDocument/2006/relationships/settings" Target="settings.xml"/><Relationship Id="rId9" Type="http://schemas.openxmlformats.org/officeDocument/2006/relationships/hyperlink" Target="https://linkinghub.elsevier.com/retrieve/pii/S01688278203047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CE02-0C1D-46E9-9585-4FCA01F8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cp:lastPrinted>2021-03-02T13:16:00Z</cp:lastPrinted>
  <dcterms:created xsi:type="dcterms:W3CDTF">2021-07-21T10:23:00Z</dcterms:created>
  <dcterms:modified xsi:type="dcterms:W3CDTF">2021-07-21T10:23:00Z</dcterms:modified>
</cp:coreProperties>
</file>