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B61EC" w14:textId="77777777" w:rsidR="00E403C4" w:rsidRPr="002F6CA0" w:rsidRDefault="00E403C4" w:rsidP="00E403C4">
      <w:pPr>
        <w:spacing w:line="360" w:lineRule="auto"/>
        <w:jc w:val="center"/>
        <w:rPr>
          <w:rFonts w:ascii="Cambria" w:eastAsia="Times New Roman" w:hAnsi="Cambria" w:cs="Times New Roman"/>
          <w:b/>
          <w:kern w:val="1"/>
          <w:sz w:val="44"/>
          <w:szCs w:val="44"/>
        </w:rPr>
      </w:pPr>
      <w:r w:rsidRPr="002F6CA0">
        <w:rPr>
          <w:rFonts w:ascii="Cambria" w:eastAsia="Times New Roman" w:hAnsi="Cambria" w:cs="Times New Roman"/>
          <w:b/>
          <w:kern w:val="1"/>
          <w:sz w:val="44"/>
          <w:szCs w:val="44"/>
        </w:rPr>
        <w:t>La eliminación de la proteína NOX4 mejora la regeneración del hígado</w:t>
      </w:r>
    </w:p>
    <w:p w14:paraId="352862BE" w14:textId="77777777" w:rsidR="00E403C4" w:rsidRPr="002F6CA0" w:rsidRDefault="00E403C4" w:rsidP="002F6CA0">
      <w:pPr>
        <w:pStyle w:val="Prrafodelista"/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6960DBDA" w14:textId="77777777" w:rsidR="00E403C4" w:rsidRPr="002F6CA0" w:rsidRDefault="00E403C4" w:rsidP="002F6CA0">
      <w:pPr>
        <w:pStyle w:val="Prrafodelista"/>
        <w:numPr>
          <w:ilvl w:val="0"/>
          <w:numId w:val="3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/>
          <w:kern w:val="1"/>
          <w:sz w:val="24"/>
          <w:szCs w:val="24"/>
        </w:rPr>
        <w:t>Un grupo del IDIBELL y del CIBEREHD demuestra que los ratones que no expresan la proteína NOX4 recuperan el tejido hepático más rápidamente tras una resección.</w:t>
      </w:r>
    </w:p>
    <w:p w14:paraId="43DF2950" w14:textId="77777777" w:rsidR="00E403C4" w:rsidRPr="002F6CA0" w:rsidRDefault="00E403C4" w:rsidP="002F6CA0">
      <w:pPr>
        <w:pStyle w:val="Prrafodelista"/>
        <w:numPr>
          <w:ilvl w:val="0"/>
          <w:numId w:val="3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En estudios previos, el grupo había propuesto NOX4 como posible diana terapéutica en afecciones hepáticas crónicas. </w:t>
      </w:r>
    </w:p>
    <w:p w14:paraId="6340CA36" w14:textId="77777777" w:rsidR="00E403C4" w:rsidRPr="002F6CA0" w:rsidRDefault="00E403C4" w:rsidP="002F6CA0">
      <w:pPr>
        <w:pStyle w:val="Prrafodelista"/>
        <w:numPr>
          <w:ilvl w:val="0"/>
          <w:numId w:val="3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/>
          <w:kern w:val="1"/>
          <w:sz w:val="24"/>
          <w:szCs w:val="24"/>
        </w:rPr>
        <w:t>Estos resultados demuestran que su inhibición podría, además, mejorar la regeneración del hígado.</w:t>
      </w:r>
    </w:p>
    <w:p w14:paraId="0FAD92B7" w14:textId="77777777" w:rsidR="00E403C4" w:rsidRPr="002F6CA0" w:rsidRDefault="00E403C4" w:rsidP="00E403C4">
      <w:pPr>
        <w:rPr>
          <w:b/>
        </w:rPr>
      </w:pPr>
    </w:p>
    <w:p w14:paraId="479A65E3" w14:textId="55D529C7" w:rsidR="00E403C4" w:rsidRPr="002F6CA0" w:rsidRDefault="00E403C4" w:rsidP="002F6CA0">
      <w:pPr>
        <w:spacing w:line="360" w:lineRule="auto"/>
        <w:jc w:val="both"/>
        <w:rPr>
          <w:rFonts w:ascii="Cambria" w:eastAsia="Times New Roman" w:hAnsi="Cambria" w:cs="Times New Roman"/>
          <w:bCs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Madrid, </w:t>
      </w:r>
      <w:r w:rsidRPr="002F6CA0">
        <w:rPr>
          <w:rFonts w:ascii="Cambria" w:eastAsia="Times New Roman" w:hAnsi="Cambria" w:cs="Times New Roman"/>
          <w:b/>
          <w:kern w:val="1"/>
          <w:sz w:val="24"/>
          <w:szCs w:val="24"/>
        </w:rPr>
        <w:t>3 febrero 2021</w:t>
      </w:r>
      <w:r w:rsidR="002F6CA0" w:rsidRPr="002F6CA0">
        <w:rPr>
          <w:rFonts w:ascii="Cambria" w:eastAsia="Times New Roman" w:hAnsi="Cambria" w:cs="Times New Roman"/>
          <w:b/>
          <w:kern w:val="1"/>
          <w:sz w:val="24"/>
          <w:szCs w:val="24"/>
        </w:rPr>
        <w:t>.</w:t>
      </w:r>
      <w:r w:rsidR="002F6CA0"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 xml:space="preserve"> </w:t>
      </w:r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 xml:space="preserve">El hígado es un órgano que presenta la capacidad de regenerarse tras un daño, ya que sus células pueden proliferar y recuperar el tejido perdido o afectado. Un estudio del Instituto de Investigación Biomédica de Bellvitge (IDIBELL) </w:t>
      </w:r>
      <w:r w:rsidR="002F6CA0">
        <w:rPr>
          <w:rFonts w:ascii="Cambria" w:eastAsia="Times New Roman" w:hAnsi="Cambria" w:cs="Times New Roman"/>
          <w:bCs/>
          <w:kern w:val="1"/>
          <w:sz w:val="24"/>
          <w:szCs w:val="24"/>
        </w:rPr>
        <w:t xml:space="preserve">en colaboración con el CIBER </w:t>
      </w:r>
      <w:r w:rsidR="002F6CA0"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>de Enfermedades Hepáticas y Digestivas (CIBEREHD)</w:t>
      </w:r>
      <w:r w:rsidR="002F6CA0">
        <w:rPr>
          <w:rFonts w:ascii="Cambria" w:eastAsia="Times New Roman" w:hAnsi="Cambria" w:cs="Times New Roman"/>
          <w:bCs/>
          <w:kern w:val="1"/>
          <w:sz w:val="24"/>
          <w:szCs w:val="24"/>
        </w:rPr>
        <w:t xml:space="preserve"> </w:t>
      </w:r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>acaba de demostrar que la eliminación de la proteína NADPH oxidasa 4 (NOX4) mejora y acelera la regeneración del tejido hepático. Este descubrimiento pone a NOX4 en el foco como diana terapéutica, ya que su inhibición podría ayudar a estimular la regeneración hepática en los pacientes con enfermedades crónicas.</w:t>
      </w:r>
    </w:p>
    <w:p w14:paraId="0943A15E" w14:textId="230E6102" w:rsidR="00E403C4" w:rsidRPr="002F6CA0" w:rsidRDefault="00E403C4" w:rsidP="00E403C4">
      <w:pPr>
        <w:spacing w:line="360" w:lineRule="auto"/>
        <w:jc w:val="both"/>
        <w:rPr>
          <w:rFonts w:ascii="Cambria" w:eastAsia="Times New Roman" w:hAnsi="Cambria" w:cs="Times New Roman"/>
          <w:bCs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>Las investigadoras Macarena Herranz-</w:t>
      </w:r>
      <w:proofErr w:type="spellStart"/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>Itúrbide</w:t>
      </w:r>
      <w:proofErr w:type="spellEnd"/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 xml:space="preserve"> y Judit López-Luque, en el equipo de Isabel Fabregat, jefa de grupo en IDIBELL y del CIBEREHD, observaron que aquellos ratones que no expresaban NOX4, ya fuera de manera generalizada o específicamente en el hígado, recuperaban el tejido hepático y mostraban mayor supervivencia tras una resección de parte del hígado. En el trabajo se ha contado con la relevante colaboración del grupo de Natalie </w:t>
      </w:r>
      <w:proofErr w:type="spellStart"/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>Törok</w:t>
      </w:r>
      <w:proofErr w:type="spellEnd"/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 xml:space="preserve"> de la Universidad de Stanford en California, USA.</w:t>
      </w:r>
    </w:p>
    <w:p w14:paraId="029235D8" w14:textId="77777777" w:rsidR="00E403C4" w:rsidRPr="002F6CA0" w:rsidRDefault="00E403C4" w:rsidP="00E403C4">
      <w:pPr>
        <w:spacing w:line="360" w:lineRule="auto"/>
        <w:jc w:val="both"/>
        <w:rPr>
          <w:rFonts w:ascii="Cambria" w:eastAsia="Times New Roman" w:hAnsi="Cambria" w:cs="Times New Roman"/>
          <w:bCs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 xml:space="preserve">Los resultados, publicados en la revista Redox </w:t>
      </w:r>
      <w:proofErr w:type="spellStart"/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>Biology</w:t>
      </w:r>
      <w:proofErr w:type="spellEnd"/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>, muestran que la falta de NOX4 estimula la proliferación de las células del hígado y en consecuencia la regeneración hepática. Hecho que va acompañado de un cambio en el perfil de expresión de genes que regulan la proliferación celular.</w:t>
      </w:r>
    </w:p>
    <w:p w14:paraId="2C9578FE" w14:textId="29146DD1" w:rsidR="00E403C4" w:rsidRPr="002F6CA0" w:rsidRDefault="00E403C4" w:rsidP="00E403C4">
      <w:pPr>
        <w:spacing w:line="360" w:lineRule="auto"/>
        <w:jc w:val="both"/>
        <w:rPr>
          <w:rFonts w:ascii="Cambria" w:eastAsia="Times New Roman" w:hAnsi="Cambria" w:cs="Times New Roman"/>
          <w:bCs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lastRenderedPageBreak/>
        <w:t xml:space="preserve">La Dra. Fabregat comenta que en estudios previos ya habían apuntado a la inhibición de NOX4 como herramienta terapéutica para enfermedades crónicas que producen fibrosis en el hígado. Y añade, </w:t>
      </w:r>
      <w:r w:rsidRPr="002F6CA0">
        <w:rPr>
          <w:rFonts w:ascii="Cambria" w:eastAsia="Times New Roman" w:hAnsi="Cambria" w:cs="Times New Roman"/>
          <w:bCs/>
          <w:i/>
          <w:iCs/>
          <w:kern w:val="1"/>
          <w:sz w:val="24"/>
          <w:szCs w:val="24"/>
        </w:rPr>
        <w:t>“en este estudio hemos confirmado que su aplicación terapéutica podría también beneficiar la regeneración del hígado, sin efectos negativos sobre su correcta terminación”.</w:t>
      </w:r>
    </w:p>
    <w:p w14:paraId="7D4F864E" w14:textId="77777777" w:rsidR="00E403C4" w:rsidRPr="002F6CA0" w:rsidRDefault="00E403C4" w:rsidP="00E403C4">
      <w:pPr>
        <w:spacing w:line="360" w:lineRule="auto"/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/>
          <w:kern w:val="1"/>
          <w:sz w:val="24"/>
          <w:szCs w:val="24"/>
        </w:rPr>
        <w:t>El papel del TGF-β</w:t>
      </w:r>
    </w:p>
    <w:p w14:paraId="6EE05CF6" w14:textId="77777777" w:rsidR="00E403C4" w:rsidRPr="002F6CA0" w:rsidRDefault="00E403C4" w:rsidP="00E403C4">
      <w:pPr>
        <w:spacing w:line="360" w:lineRule="auto"/>
        <w:jc w:val="both"/>
        <w:rPr>
          <w:rFonts w:ascii="Cambria" w:eastAsia="Times New Roman" w:hAnsi="Cambria" w:cs="Times New Roman"/>
          <w:bCs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>El TGF-β es un factor de crecimiento implicado en multitud de procesos celulares como la proliferación, migración o diferenciación celular. Lo que lo convierte en una proteína de elevado interés para infinidad de campos de la biomedicina.</w:t>
      </w:r>
    </w:p>
    <w:p w14:paraId="7C4DFD49" w14:textId="30025DFD" w:rsidR="005514DC" w:rsidRPr="002F6CA0" w:rsidRDefault="00E403C4" w:rsidP="002F6CA0">
      <w:pPr>
        <w:spacing w:line="360" w:lineRule="auto"/>
        <w:jc w:val="both"/>
        <w:rPr>
          <w:rFonts w:ascii="Cambria" w:eastAsia="Times New Roman" w:hAnsi="Cambria" w:cs="Times New Roman"/>
          <w:bCs/>
          <w:kern w:val="1"/>
          <w:sz w:val="24"/>
          <w:szCs w:val="24"/>
        </w:rPr>
      </w:pPr>
      <w:r w:rsidRPr="002F6CA0">
        <w:rPr>
          <w:rFonts w:ascii="Cambria" w:eastAsia="Times New Roman" w:hAnsi="Cambria" w:cs="Times New Roman"/>
          <w:bCs/>
          <w:kern w:val="1"/>
          <w:sz w:val="24"/>
          <w:szCs w:val="24"/>
        </w:rPr>
        <w:t>Los experimentos realizados por el equipo de TGF-β y Cáncer, dirigido por la Dra. Fabregat, han puesto en evidencia que la depleción de NOX4 también conlleva una disminución transitoria de los niveles de expresión y actividad de TGF-β, lo que favorece una aceleración de la regeneración hepática, No obstante, la respuesta al TGF-β se recupera más tarde y se produce correctamente la terminación del proceso.</w:t>
      </w:r>
    </w:p>
    <w:p w14:paraId="3C1A3BA0" w14:textId="77777777" w:rsidR="002F6CA0" w:rsidRDefault="00662D2B" w:rsidP="002F6CA0">
      <w:pPr>
        <w:pStyle w:val="Ttulo1"/>
        <w:rPr>
          <w:rFonts w:ascii="Cambria" w:hAnsi="Cambria"/>
          <w:kern w:val="1"/>
          <w:sz w:val="24"/>
          <w:szCs w:val="24"/>
        </w:rPr>
      </w:pPr>
      <w:r w:rsidRPr="005514DC">
        <w:rPr>
          <w:rFonts w:ascii="Cambria" w:hAnsi="Cambria"/>
          <w:kern w:val="1"/>
          <w:sz w:val="24"/>
          <w:szCs w:val="24"/>
        </w:rPr>
        <w:t>Enlace al artículo de referencia:</w:t>
      </w:r>
    </w:p>
    <w:p w14:paraId="0B06D194" w14:textId="556E4C08" w:rsidR="002F6CA0" w:rsidRPr="002F6CA0" w:rsidRDefault="002F6CA0" w:rsidP="002F6CA0">
      <w:pPr>
        <w:pStyle w:val="Ttulo1"/>
      </w:pPr>
      <w:r>
        <w:rPr>
          <w:rFonts w:ascii="Cambria" w:hAnsi="Cambria"/>
          <w:b w:val="0"/>
          <w:kern w:val="1"/>
          <w:sz w:val="24"/>
          <w:szCs w:val="24"/>
        </w:rPr>
        <w:t xml:space="preserve"> </w:t>
      </w:r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 xml:space="preserve">NADPH oxidase 4 (Nox4) </w:t>
      </w:r>
      <w:proofErr w:type="spellStart"/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>deletion</w:t>
      </w:r>
      <w:proofErr w:type="spellEnd"/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 xml:space="preserve"> </w:t>
      </w:r>
      <w:proofErr w:type="spellStart"/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>accelerates</w:t>
      </w:r>
      <w:proofErr w:type="spellEnd"/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 xml:space="preserve"> </w:t>
      </w:r>
      <w:proofErr w:type="spellStart"/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>liver</w:t>
      </w:r>
      <w:proofErr w:type="spellEnd"/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 xml:space="preserve"> </w:t>
      </w:r>
      <w:proofErr w:type="spellStart"/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>regeneration</w:t>
      </w:r>
      <w:proofErr w:type="spellEnd"/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 xml:space="preserve"> in </w:t>
      </w:r>
      <w:proofErr w:type="spellStart"/>
      <w:r w:rsidRPr="002F6CA0">
        <w:rPr>
          <w:rFonts w:ascii="Cambria" w:hAnsi="Cambria"/>
          <w:bCs w:val="0"/>
          <w:kern w:val="1"/>
          <w:sz w:val="24"/>
          <w:szCs w:val="24"/>
          <w:lang w:eastAsia="en-US"/>
        </w:rPr>
        <w:t>mice</w:t>
      </w:r>
      <w:proofErr w:type="spellEnd"/>
      <w:r>
        <w:t xml:space="preserve"> </w:t>
      </w:r>
    </w:p>
    <w:p w14:paraId="1131603A" w14:textId="4CF9F9F1" w:rsidR="00662D2B" w:rsidRPr="005514DC" w:rsidRDefault="002F6CA0" w:rsidP="00662D2B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hyperlink r:id="rId7" w:tgtFrame="_blank" w:tooltip="Persistent link using digital object identifier" w:history="1">
        <w:r>
          <w:rPr>
            <w:rStyle w:val="Hipervnculo"/>
          </w:rPr>
          <w:t>https://doi.o</w:t>
        </w:r>
        <w:r>
          <w:rPr>
            <w:rStyle w:val="Hipervnculo"/>
          </w:rPr>
          <w:t>r</w:t>
        </w:r>
        <w:r>
          <w:rPr>
            <w:rStyle w:val="Hipervnculo"/>
          </w:rPr>
          <w:t>g/10.1016/j.redox.2020.101841</w:t>
        </w:r>
      </w:hyperlink>
    </w:p>
    <w:p w14:paraId="2E84F503" w14:textId="66AB31BA" w:rsidR="00662D2B" w:rsidRPr="006F7C35" w:rsidRDefault="006F7C35" w:rsidP="006F7C35">
      <w:pPr>
        <w:tabs>
          <w:tab w:val="right" w:pos="8504"/>
        </w:tabs>
        <w:rPr>
          <w:rFonts w:ascii="Cambria" w:eastAsia="Times New Roman" w:hAnsi="Cambria" w:cs="Times New Roman"/>
          <w:kern w:val="1"/>
          <w:sz w:val="24"/>
          <w:szCs w:val="24"/>
        </w:rPr>
      </w:pPr>
      <w:r w:rsidRPr="006F7C35">
        <w:tab/>
      </w:r>
    </w:p>
    <w:p w14:paraId="5F483B06" w14:textId="77777777" w:rsidR="0035163A" w:rsidRDefault="0035163A" w:rsidP="0035163A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t xml:space="preserve">Sobre el CIBEREHD </w:t>
      </w:r>
    </w:p>
    <w:p w14:paraId="247AE5D7" w14:textId="7B7EDACB" w:rsidR="0035163A" w:rsidRPr="002F6CA0" w:rsidRDefault="0035163A" w:rsidP="002F6CA0">
      <w:pPr>
        <w:jc w:val="both"/>
        <w:rPr>
          <w:rFonts w:asciiTheme="majorHAnsi" w:hAnsiTheme="majorHAnsi" w:cs="Arial"/>
          <w:sz w:val="24"/>
          <w:szCs w:val="24"/>
          <w:lang w:val="es-ES_tradnl" w:eastAsia="ca-ES"/>
        </w:rPr>
      </w:pPr>
      <w:r>
        <w:rPr>
          <w:rFonts w:ascii="Cambria" w:hAnsi="Cambria"/>
          <w:kern w:val="2"/>
          <w:sz w:val="24"/>
          <w:szCs w:val="24"/>
        </w:rPr>
        <w:t xml:space="preserve">El CIBER (Consorcio Centro de Investigación Biomédica en Red, M.P.) depende del Instituto de Salud Carlos III –Ministerio de Ciencia e Innovación– y está cofinanciado por el Fondo Europeo de Desarrollo Regional (FEDER). </w:t>
      </w:r>
      <w:r>
        <w:rPr>
          <w:rFonts w:asciiTheme="majorHAnsi" w:hAnsiTheme="majorHAnsi" w:cs="Arial"/>
          <w:sz w:val="24"/>
          <w:szCs w:val="24"/>
          <w:lang w:val="es-ES_tradnl" w:eastAsia="ca-ES"/>
        </w:rPr>
        <w:t>El CIBER de Enfermedades Hepáticas y Digestivas (CIBEREHD) tiene como finalidad la promoción y protección de la salud por medio del fomento de la investigación. Esta actividad, cuyo alcance incluye tanto a las investigaciones de carácter básico, como aspectos clínicos y traslacionales, se fundamenta en torno a la temática de enfermedades hepáticas y digestivas con la finalidad de innovar en la prevención de dichas enfermedades y de promover avances científicos y sanitarios relevantes a través de la colaboración de los mejores grupos españoles.</w:t>
      </w:r>
    </w:p>
    <w:sectPr w:rsidR="0035163A" w:rsidRPr="002F6CA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F4290" w14:textId="77777777" w:rsidR="009E04ED" w:rsidRDefault="009E04ED" w:rsidP="0035163A">
      <w:pPr>
        <w:spacing w:after="0" w:line="240" w:lineRule="auto"/>
      </w:pPr>
      <w:r>
        <w:separator/>
      </w:r>
    </w:p>
  </w:endnote>
  <w:endnote w:type="continuationSeparator" w:id="0">
    <w:p w14:paraId="7FAEACCF" w14:textId="77777777" w:rsidR="009E04ED" w:rsidRDefault="009E04ED" w:rsidP="0035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D72B" w14:textId="77777777" w:rsidR="009E04ED" w:rsidRDefault="009E04ED" w:rsidP="0035163A">
      <w:pPr>
        <w:spacing w:after="0" w:line="240" w:lineRule="auto"/>
      </w:pPr>
      <w:r>
        <w:separator/>
      </w:r>
    </w:p>
  </w:footnote>
  <w:footnote w:type="continuationSeparator" w:id="0">
    <w:p w14:paraId="70DD3EB4" w14:textId="77777777" w:rsidR="009E04ED" w:rsidRDefault="009E04ED" w:rsidP="0035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7EF58" w14:textId="77777777" w:rsidR="0035163A" w:rsidRDefault="0035163A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0EFDDA57" wp14:editId="3BADFC58">
          <wp:simplePos x="0" y="0"/>
          <wp:positionH relativeFrom="column">
            <wp:posOffset>5673090</wp:posOffset>
          </wp:positionH>
          <wp:positionV relativeFrom="paragraph">
            <wp:posOffset>-43180</wp:posOffset>
          </wp:positionV>
          <wp:extent cx="609600" cy="4940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1CB6936A" wp14:editId="2341FC03">
          <wp:simplePos x="0" y="0"/>
          <wp:positionH relativeFrom="column">
            <wp:posOffset>3887470</wp:posOffset>
          </wp:positionH>
          <wp:positionV relativeFrom="paragraph">
            <wp:posOffset>-36830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56DC2E7" wp14:editId="4EDADA27">
          <wp:simplePos x="0" y="0"/>
          <wp:positionH relativeFrom="column">
            <wp:posOffset>2520315</wp:posOffset>
          </wp:positionH>
          <wp:positionV relativeFrom="paragraph">
            <wp:posOffset>-116205</wp:posOffset>
          </wp:positionV>
          <wp:extent cx="1314450" cy="523875"/>
          <wp:effectExtent l="0" t="0" r="0" b="9525"/>
          <wp:wrapThrough wrapText="bothSides">
            <wp:wrapPolygon edited="0">
              <wp:start x="0" y="0"/>
              <wp:lineTo x="0" y="21207"/>
              <wp:lineTo x="21287" y="21207"/>
              <wp:lineTo x="21287" y="0"/>
              <wp:lineTo x="0" y="0"/>
            </wp:wrapPolygon>
          </wp:wrapThrough>
          <wp:docPr id="7" name="Imagen 7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1270" distL="114300" distR="118745" simplePos="0" relativeHeight="251659264" behindDoc="1" locked="0" layoutInCell="1" allowOverlap="1" wp14:anchorId="3CEFF9E3" wp14:editId="5D524CA2">
          <wp:simplePos x="0" y="0"/>
          <wp:positionH relativeFrom="column">
            <wp:posOffset>-692150</wp:posOffset>
          </wp:positionH>
          <wp:positionV relativeFrom="paragraph">
            <wp:posOffset>-166370</wp:posOffset>
          </wp:positionV>
          <wp:extent cx="1462405" cy="646430"/>
          <wp:effectExtent l="0" t="0" r="4445" b="1270"/>
          <wp:wrapSquare wrapText="bothSides"/>
          <wp:docPr id="3" name="Imagen 5" descr="C:\Documents and Settings\Laura\Escritorio\logo_ciberehd_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C:\Documents and Settings\Laura\Escritorio\logo_ciberehd_tex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  </w:t>
    </w:r>
  </w:p>
  <w:p w14:paraId="08285C73" w14:textId="77777777" w:rsidR="005514DC" w:rsidRDefault="005514DC">
    <w:pPr>
      <w:pStyle w:val="Encabezado"/>
    </w:pPr>
  </w:p>
  <w:p w14:paraId="0F6F5BC8" w14:textId="77777777" w:rsidR="005514DC" w:rsidRDefault="005514DC">
    <w:pPr>
      <w:pStyle w:val="Encabezado"/>
    </w:pPr>
  </w:p>
  <w:p w14:paraId="3E20BD61" w14:textId="77777777" w:rsidR="005514DC" w:rsidRDefault="005514DC">
    <w:pPr>
      <w:pStyle w:val="Encabezado"/>
    </w:pPr>
  </w:p>
  <w:p w14:paraId="090E1526" w14:textId="77777777" w:rsidR="005514DC" w:rsidRDefault="00551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442BA"/>
    <w:multiLevelType w:val="hybridMultilevel"/>
    <w:tmpl w:val="2A44F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95F44"/>
    <w:multiLevelType w:val="hybridMultilevel"/>
    <w:tmpl w:val="E4121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923E9"/>
    <w:multiLevelType w:val="hybridMultilevel"/>
    <w:tmpl w:val="9F2261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NDUyNzA3sDQzMjZX0lEKTi0uzszPAykwrAUANE04fiwAAAA="/>
  </w:docVars>
  <w:rsids>
    <w:rsidRoot w:val="00094127"/>
    <w:rsid w:val="000839E2"/>
    <w:rsid w:val="00094127"/>
    <w:rsid w:val="00131550"/>
    <w:rsid w:val="00140CC0"/>
    <w:rsid w:val="00183851"/>
    <w:rsid w:val="001B33C6"/>
    <w:rsid w:val="001D199E"/>
    <w:rsid w:val="001E1C07"/>
    <w:rsid w:val="00210AAF"/>
    <w:rsid w:val="002761F8"/>
    <w:rsid w:val="002900F9"/>
    <w:rsid w:val="002C5F65"/>
    <w:rsid w:val="002D5C9D"/>
    <w:rsid w:val="002F6CA0"/>
    <w:rsid w:val="0035163A"/>
    <w:rsid w:val="003E429D"/>
    <w:rsid w:val="004003C3"/>
    <w:rsid w:val="00491F02"/>
    <w:rsid w:val="004D5CDC"/>
    <w:rsid w:val="00516E71"/>
    <w:rsid w:val="00532340"/>
    <w:rsid w:val="00537F7C"/>
    <w:rsid w:val="005514DC"/>
    <w:rsid w:val="00560846"/>
    <w:rsid w:val="005D4E9E"/>
    <w:rsid w:val="005D5C1D"/>
    <w:rsid w:val="005E6BCF"/>
    <w:rsid w:val="00643861"/>
    <w:rsid w:val="00662D2B"/>
    <w:rsid w:val="006B01F4"/>
    <w:rsid w:val="006F7C35"/>
    <w:rsid w:val="0071066D"/>
    <w:rsid w:val="00737DE7"/>
    <w:rsid w:val="0074372A"/>
    <w:rsid w:val="0075403F"/>
    <w:rsid w:val="00775786"/>
    <w:rsid w:val="00780218"/>
    <w:rsid w:val="007E2E1B"/>
    <w:rsid w:val="008A441E"/>
    <w:rsid w:val="008B2FDC"/>
    <w:rsid w:val="008C27BC"/>
    <w:rsid w:val="008E1884"/>
    <w:rsid w:val="009155AA"/>
    <w:rsid w:val="009C5745"/>
    <w:rsid w:val="009D2B51"/>
    <w:rsid w:val="009E04ED"/>
    <w:rsid w:val="00A54B57"/>
    <w:rsid w:val="00AD5774"/>
    <w:rsid w:val="00B87DE8"/>
    <w:rsid w:val="00BB6690"/>
    <w:rsid w:val="00BD3C8F"/>
    <w:rsid w:val="00BE7E72"/>
    <w:rsid w:val="00C0456C"/>
    <w:rsid w:val="00C20644"/>
    <w:rsid w:val="00C5509D"/>
    <w:rsid w:val="00CC2245"/>
    <w:rsid w:val="00DF6E01"/>
    <w:rsid w:val="00E11359"/>
    <w:rsid w:val="00E12844"/>
    <w:rsid w:val="00E403C4"/>
    <w:rsid w:val="00E71159"/>
    <w:rsid w:val="00EB4521"/>
    <w:rsid w:val="00EC3910"/>
    <w:rsid w:val="00F1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BAD9"/>
  <w15:docId w15:val="{58BDB80A-526C-4E05-9D00-487C0D07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F6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63A"/>
  </w:style>
  <w:style w:type="paragraph" w:styleId="Piedepgina">
    <w:name w:val="footer"/>
    <w:basedOn w:val="Normal"/>
    <w:link w:val="PiedepginaCar"/>
    <w:uiPriority w:val="99"/>
    <w:unhideWhenUsed/>
    <w:rsid w:val="00351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63A"/>
  </w:style>
  <w:style w:type="paragraph" w:styleId="Prrafodelista">
    <w:name w:val="List Paragraph"/>
    <w:basedOn w:val="Normal"/>
    <w:uiPriority w:val="34"/>
    <w:qFormat/>
    <w:rsid w:val="007540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064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644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155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4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5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ocsum-journal-citation">
    <w:name w:val="docsum-journal-citation"/>
    <w:basedOn w:val="Fuentedeprrafopredeter"/>
    <w:rsid w:val="005514DC"/>
  </w:style>
  <w:style w:type="character" w:styleId="Refdecomentario">
    <w:name w:val="annotation reference"/>
    <w:basedOn w:val="Fuentedeprrafopredeter"/>
    <w:uiPriority w:val="99"/>
    <w:semiHidden/>
    <w:unhideWhenUsed/>
    <w:rsid w:val="00E403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03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03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3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3C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403C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F6CA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itle-text">
    <w:name w:val="title-text"/>
    <w:basedOn w:val="Fuentedeprrafopredeter"/>
    <w:rsid w:val="002F6CA0"/>
  </w:style>
  <w:style w:type="character" w:styleId="Mencinsinresolver">
    <w:name w:val="Unresolved Mention"/>
    <w:basedOn w:val="Fuentedeprrafopredeter"/>
    <w:uiPriority w:val="99"/>
    <w:semiHidden/>
    <w:unhideWhenUsed/>
    <w:rsid w:val="002F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redox.2020.1018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3</cp:revision>
  <dcterms:created xsi:type="dcterms:W3CDTF">2021-02-01T10:49:00Z</dcterms:created>
  <dcterms:modified xsi:type="dcterms:W3CDTF">2021-02-01T10:55:00Z</dcterms:modified>
</cp:coreProperties>
</file>